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30" w:rsidRDefault="003C6430" w:rsidP="003C6430">
      <w:pPr>
        <w:pStyle w:val="NormalWeb"/>
      </w:pPr>
      <w:r>
        <w:t>ELIFLAM®</w:t>
      </w:r>
    </w:p>
    <w:p w:rsidR="003C6430" w:rsidRDefault="003C6430" w:rsidP="003C6430">
      <w:pPr>
        <w:pStyle w:val="NormalWeb"/>
      </w:pPr>
      <w:r>
        <w:t>CELECOXIB</w:t>
      </w:r>
    </w:p>
    <w:p w:rsidR="003C6430" w:rsidRDefault="003C6430" w:rsidP="003C6430">
      <w:pPr>
        <w:pStyle w:val="NormalWeb"/>
      </w:pPr>
      <w:r>
        <w:t>ELIFLAM® 100</w:t>
      </w:r>
    </w:p>
    <w:p w:rsidR="003C6430" w:rsidRDefault="003C6430" w:rsidP="003C6430">
      <w:pPr>
        <w:pStyle w:val="NormalWeb"/>
      </w:pPr>
      <w:r>
        <w:t>CELECOXIB 100 mg</w:t>
      </w:r>
    </w:p>
    <w:p w:rsidR="003C6430" w:rsidRDefault="003C6430" w:rsidP="003C6430">
      <w:pPr>
        <w:pStyle w:val="NormalWeb"/>
      </w:pPr>
      <w:r>
        <w:t>FORMULA</w:t>
      </w:r>
    </w:p>
    <w:p w:rsidR="003C6430" w:rsidRDefault="003C6430" w:rsidP="003C6430">
      <w:pPr>
        <w:pStyle w:val="NormalWeb"/>
      </w:pPr>
      <w:r>
        <w:t>Cada cápsula contiene:</w:t>
      </w:r>
    </w:p>
    <w:p w:rsidR="003C6430" w:rsidRDefault="003C6430" w:rsidP="003C6430">
      <w:pPr>
        <w:pStyle w:val="NormalWeb"/>
      </w:pPr>
      <w:r>
        <w:t>Celecoxib...........................................................................100 mg</w:t>
      </w:r>
    </w:p>
    <w:p w:rsidR="003C6430" w:rsidRDefault="003C6430" w:rsidP="003C6430">
      <w:pPr>
        <w:pStyle w:val="NormalWeb"/>
      </w:pPr>
      <w:r>
        <w:t>Excipientes...........................................................................c.s.p.</w:t>
      </w:r>
    </w:p>
    <w:p w:rsidR="003C6430" w:rsidRDefault="003C6430" w:rsidP="003C6430">
      <w:pPr>
        <w:pStyle w:val="NormalWeb"/>
      </w:pPr>
      <w:r>
        <w:t>ELIFLAM® 200</w:t>
      </w:r>
    </w:p>
    <w:p w:rsidR="003C6430" w:rsidRDefault="003C6430" w:rsidP="003C6430">
      <w:pPr>
        <w:pStyle w:val="NormalWeb"/>
      </w:pPr>
      <w:r>
        <w:t>CELECOXIB 200 mg</w:t>
      </w:r>
    </w:p>
    <w:p w:rsidR="003C6430" w:rsidRDefault="003C6430" w:rsidP="003C6430">
      <w:pPr>
        <w:pStyle w:val="NormalWeb"/>
      </w:pPr>
      <w:r>
        <w:t>FORMULA</w:t>
      </w:r>
    </w:p>
    <w:p w:rsidR="003C6430" w:rsidRDefault="003C6430" w:rsidP="003C6430">
      <w:pPr>
        <w:pStyle w:val="NormalWeb"/>
      </w:pPr>
      <w:r>
        <w:t>Cada cápsula contiene:</w:t>
      </w:r>
    </w:p>
    <w:p w:rsidR="003C6430" w:rsidRDefault="003C6430" w:rsidP="003C6430">
      <w:pPr>
        <w:pStyle w:val="NormalWeb"/>
      </w:pPr>
      <w:r>
        <w:t>Celecoxib...........................................................................200 mg</w:t>
      </w:r>
    </w:p>
    <w:p w:rsidR="003C6430" w:rsidRDefault="003C6430" w:rsidP="003C6430">
      <w:pPr>
        <w:pStyle w:val="NormalWeb"/>
      </w:pPr>
      <w:r>
        <w:t>Excipientes...........................................................................c.s.p.</w:t>
      </w:r>
    </w:p>
    <w:p w:rsidR="003C6430" w:rsidRDefault="003C6430" w:rsidP="003C6430">
      <w:pPr>
        <w:pStyle w:val="NormalWeb"/>
      </w:pPr>
      <w:r>
        <w:t>ACCION TERAPEUTICA:</w:t>
      </w:r>
    </w:p>
    <w:p w:rsidR="003C6430" w:rsidRDefault="003C6430" w:rsidP="003C6430">
      <w:pPr>
        <w:pStyle w:val="NormalWeb"/>
      </w:pPr>
      <w:r>
        <w:t>Antiinflamatorio no esteroide (AINE) que presenta actividad antiinflamatoria, analgésica y antipirética.</w:t>
      </w:r>
    </w:p>
    <w:p w:rsidR="003C6430" w:rsidRDefault="003C6430" w:rsidP="003C6430">
      <w:pPr>
        <w:pStyle w:val="NormalWeb"/>
      </w:pPr>
      <w:r>
        <w:t>Es un inhibidor específico de la isoenzima ciclo-oxigenasa-2 (COX-2) y, a concentraciones terapéuticas en seres humanos el Celecoxib no inhibe la isoenzima ciclooxigenasa-1 (COX-1).</w:t>
      </w:r>
    </w:p>
    <w:p w:rsidR="003C6430" w:rsidRDefault="003C6430" w:rsidP="003C6430">
      <w:pPr>
        <w:pStyle w:val="NormalWeb"/>
      </w:pPr>
      <w:r>
        <w:t>MECANISMO DE ACCION Y DATOS FARMACOCINETICOS:</w:t>
      </w:r>
    </w:p>
    <w:p w:rsidR="003C6430" w:rsidRDefault="003C6430" w:rsidP="003C6430">
      <w:pPr>
        <w:pStyle w:val="NormalWeb"/>
      </w:pPr>
      <w:r>
        <w:t xml:space="preserve">Como todos los AINES su mecanismo de acción se realiza sobre la biosíntesis de prostaglandinas (PG) tanto in vivo como in vitro, pero su característica diferencial es la actividad bloqueante o inhibitoria selectiva sobre la enzima ciclooxigenasa-2 (COX-2) sin afectar a la ciclooxigenasa-1 (COX-1). Luego de su administración oral, el Celecoxib se absorbe muy bien por la mucosa digestiva, alcanzando sus concentraciones plasmáticas máximas (Cmáx) a las 2-3 horas de su ingesta. Los niveles séricos y el área bajo la curva (AUC) son proporcionales a los diferentes rangos de dosis (100 y 200 mg). La unión con las proteínas plasmásticas es elevada (97%) y se realiza fundamentalmente con la fracción albúmina. Sufre metabolismo en el hígado a través del sistema enzimático citocromo P450 2C9. Presenta una larga vida media plasmática </w:t>
      </w:r>
      <w:r>
        <w:lastRenderedPageBreak/>
        <w:t>(11 horas) y luego del metabolismo hepático una mínima proporción (&lt;3%) se excreta sin modificar por la orina y las heces.</w:t>
      </w:r>
    </w:p>
    <w:p w:rsidR="003C6430" w:rsidRDefault="003C6430" w:rsidP="003C6430">
      <w:pPr>
        <w:pStyle w:val="NormalWeb"/>
      </w:pPr>
      <w:r>
        <w:t>INDICACIONES TERAPEUTICAS:</w:t>
      </w:r>
    </w:p>
    <w:p w:rsidR="003C6430" w:rsidRDefault="003C6430" w:rsidP="003C6430">
      <w:pPr>
        <w:pStyle w:val="NormalWeb"/>
      </w:pPr>
      <w:r>
        <w:t>El Celecoxib: Está indicado:</w:t>
      </w:r>
    </w:p>
    <w:p w:rsidR="003C6430" w:rsidRDefault="003C6430" w:rsidP="003C6430">
      <w:pPr>
        <w:pStyle w:val="NormalWeb"/>
      </w:pPr>
      <w:r>
        <w:t>1) Para el alivio de los signos y síntomas de la osteoartritis;</w:t>
      </w:r>
    </w:p>
    <w:p w:rsidR="003C6430" w:rsidRDefault="003C6430" w:rsidP="003C6430">
      <w:pPr>
        <w:pStyle w:val="NormalWeb"/>
      </w:pPr>
      <w:r>
        <w:t>2) Para el alivio de los signos y síntomas de la artritis reumatoide en pacientes adultos.</w:t>
      </w:r>
    </w:p>
    <w:p w:rsidR="003C6430" w:rsidRDefault="003C6430" w:rsidP="003C6430">
      <w:pPr>
        <w:pStyle w:val="NormalWeb"/>
      </w:pPr>
      <w:r>
        <w:t>POSOLOGIA:</w:t>
      </w:r>
    </w:p>
    <w:p w:rsidR="003C6430" w:rsidRDefault="003C6430" w:rsidP="003C6430">
      <w:pPr>
        <w:pStyle w:val="NormalWeb"/>
      </w:pPr>
      <w:r>
        <w:t xml:space="preserve">Osteoartritis: La dosis recomendada de Celecoxib para tratar los síntomas y los signos de la osteoartritis es de 200 mg administrados como una sola dosis o dividida en dos tomas de 100 mg. </w:t>
      </w:r>
    </w:p>
    <w:p w:rsidR="003C6430" w:rsidRDefault="003C6430" w:rsidP="003C6430">
      <w:pPr>
        <w:pStyle w:val="NormalWeb"/>
      </w:pPr>
      <w:r>
        <w:t>Artritis reumatoide: La dosis recomendada de Celecoxib para tratar los signos y los síntomas de la artritis reumatoide es de 100 mg o 200 mg administrados dos veces al día.</w:t>
      </w:r>
    </w:p>
    <w:p w:rsidR="003C6430" w:rsidRDefault="003C6430" w:rsidP="003C6430">
      <w:pPr>
        <w:pStyle w:val="NormalWeb"/>
      </w:pPr>
      <w:r>
        <w:t xml:space="preserve">Tratamiento del dolor: La dosis recomendada en el tratamiento del dolor es de 100 mg o 200 mg según sea necesario cada 4 a 6 horas, hasta una dosis diaria total máxima de 400 mg. </w:t>
      </w:r>
    </w:p>
    <w:p w:rsidR="003C6430" w:rsidRDefault="003C6430" w:rsidP="003C6430">
      <w:pPr>
        <w:pStyle w:val="NormalWeb"/>
      </w:pPr>
      <w:r>
        <w:t>Pacientes en edad avanzada: No es necesario ajustar la dosis.</w:t>
      </w:r>
    </w:p>
    <w:p w:rsidR="003C6430" w:rsidRDefault="003C6430" w:rsidP="003C6430">
      <w:pPr>
        <w:pStyle w:val="NormalWeb"/>
      </w:pPr>
      <w:r>
        <w:t>Insuficiencia hepática: No es necesario ajustar la dosis en pacientes con daño hepático leve o moderado. No hay experiencia clínica en pacientes con daño hepático severo, por lo que su administración en estos casos no se recomienda.</w:t>
      </w:r>
    </w:p>
    <w:p w:rsidR="003C6430" w:rsidRDefault="003C6430" w:rsidP="003C6430">
      <w:pPr>
        <w:pStyle w:val="NormalWeb"/>
      </w:pPr>
      <w:r>
        <w:t>Insuficiencia renal: No se requiere de ajuste de dosis en pacientes con daño renal leve o moderado. No hay experiencia clínica en pacientes con daño renal severo, por lo que su administración en estos casos no se recomienda.</w:t>
      </w:r>
    </w:p>
    <w:p w:rsidR="003C6430" w:rsidRDefault="003C6430" w:rsidP="003C6430">
      <w:pPr>
        <w:pStyle w:val="NormalWeb"/>
      </w:pPr>
      <w:r>
        <w:t>El Celecoxib no ha sido estudiado en pacientes menores de 18 años.</w:t>
      </w:r>
    </w:p>
    <w:p w:rsidR="003C6430" w:rsidRDefault="003C6430" w:rsidP="003C6430">
      <w:pPr>
        <w:pStyle w:val="NormalWeb"/>
      </w:pPr>
      <w:r>
        <w:t>CONTRAINDICACIONES:</w:t>
      </w:r>
    </w:p>
    <w:p w:rsidR="003C6430" w:rsidRDefault="003C6430" w:rsidP="003C6430">
      <w:pPr>
        <w:pStyle w:val="NormalWeb"/>
      </w:pPr>
      <w:r>
        <w:t>Está contraindicado en aquellos pacientes con hipersensibilidad demostrada al Celecoxib.</w:t>
      </w:r>
    </w:p>
    <w:p w:rsidR="003C6430" w:rsidRDefault="003C6430" w:rsidP="003C6430">
      <w:pPr>
        <w:pStyle w:val="NormalWeb"/>
      </w:pPr>
      <w:r>
        <w:t>El Celecoxib no debe administrarse a pacientes que hubieran manifestado reacciones de tipo alérgico a las sulfonamidas.</w:t>
      </w:r>
    </w:p>
    <w:p w:rsidR="003C6430" w:rsidRDefault="003C6430" w:rsidP="003C6430">
      <w:pPr>
        <w:pStyle w:val="NormalWeb"/>
      </w:pPr>
      <w:r>
        <w:t>No debe administrarse a los pacientes que hubieran padecido asma, urticaria o reacciones de tipo alérgico después de haber tomado Aspirina u otros AINES.</w:t>
      </w:r>
    </w:p>
    <w:p w:rsidR="003C6430" w:rsidRDefault="003C6430" w:rsidP="003C6430">
      <w:pPr>
        <w:pStyle w:val="NormalWeb"/>
      </w:pPr>
      <w:r>
        <w:t>PRECAUCIONES Y ADVERTENCIAS:</w:t>
      </w:r>
    </w:p>
    <w:p w:rsidR="003C6430" w:rsidRDefault="003C6430" w:rsidP="003C6430">
      <w:pPr>
        <w:pStyle w:val="NormalWeb"/>
      </w:pPr>
      <w:r>
        <w:t>Embarazo: Deberá evitarse el uso de Celecoxib durante el tercer trimestre del embarazo ya que puede producir el cierre prematuro del conducto arterioso.</w:t>
      </w:r>
    </w:p>
    <w:p w:rsidR="003C6430" w:rsidRDefault="003C6430" w:rsidP="003C6430">
      <w:pPr>
        <w:pStyle w:val="NormalWeb"/>
      </w:pPr>
      <w:r>
        <w:t>Uso pediátrico: No se han evaluado la seguridad ni la eficacia en pacientes pediátricos menores de 18 años de edad.</w:t>
      </w:r>
    </w:p>
    <w:p w:rsidR="003C6430" w:rsidRDefault="003C6430" w:rsidP="003C6430">
      <w:pPr>
        <w:pStyle w:val="NormalWeb"/>
      </w:pPr>
      <w:r>
        <w:t xml:space="preserve">Administrar con precaución en pacientes con antecedentes de enfermedad ulcerosa gastroduodenal; ancianos o debilitados. </w:t>
      </w:r>
    </w:p>
    <w:p w:rsidR="003C6430" w:rsidRDefault="003C6430" w:rsidP="003C6430">
      <w:pPr>
        <w:pStyle w:val="NormalWeb"/>
      </w:pPr>
      <w:r>
        <w:t>REACCIONES ADVERSAS Y EFECTOS COLATERALES:</w:t>
      </w:r>
    </w:p>
    <w:p w:rsidR="003C6430" w:rsidRDefault="003C6430" w:rsidP="003C6430">
      <w:pPr>
        <w:pStyle w:val="NormalWeb"/>
      </w:pPr>
      <w:r>
        <w:t>Pudiendo presentarse dispepsia, dolor abdominal, disfagia, eructos, esofagitis.</w:t>
      </w:r>
    </w:p>
    <w:p w:rsidR="003C6430" w:rsidRDefault="003C6430" w:rsidP="003C6430">
      <w:pPr>
        <w:pStyle w:val="NormalWeb"/>
      </w:pPr>
      <w:r>
        <w:t>En general, la tolerancia clínica fue buena; constipación, dermatitis, urticaria, cefalea, tos, elevación transitoria de las enzimas hepáticas (SGOT y SGPT), creatinina, glucemia, y colesterol que se normalizan con la suspensión o continuidad del tratamiento. Astenia.</w:t>
      </w:r>
    </w:p>
    <w:p w:rsidR="003C6430" w:rsidRDefault="003C6430" w:rsidP="003C6430">
      <w:pPr>
        <w:pStyle w:val="NormalWeb"/>
      </w:pPr>
      <w:r>
        <w:t>INTERACCIONES CON ALIMENTOS Y MEDICAMENTOS:</w:t>
      </w:r>
    </w:p>
    <w:p w:rsidR="003C6430" w:rsidRDefault="003C6430" w:rsidP="003C6430">
      <w:pPr>
        <w:pStyle w:val="NormalWeb"/>
      </w:pPr>
      <w:r>
        <w:t>La administración simultánea con Litio, Fluconazol, Furosemida, IECA, Acido Acetil Salicílico, pueden generar diferentes tipos de interacciones medicamentosas. La asociación con Fenitoína, Metotrexato, Warfarina, Tolbutamida y Gliburida no mostró interacciones de importancia clínica.</w:t>
      </w:r>
    </w:p>
    <w:p w:rsidR="003C6430" w:rsidRDefault="003C6430" w:rsidP="003C6430">
      <w:pPr>
        <w:pStyle w:val="NormalWeb"/>
      </w:pPr>
      <w:r>
        <w:t>SOBREDOSIFICACION:</w:t>
      </w:r>
    </w:p>
    <w:p w:rsidR="003C6430" w:rsidRDefault="003C6430" w:rsidP="003C6430">
      <w:pPr>
        <w:pStyle w:val="NormalWeb"/>
      </w:pPr>
      <w:r>
        <w:t xml:space="preserve">Los síntomas relacionados con casos de sobredosificación </w:t>
      </w:r>
      <w:proofErr w:type="gramStart"/>
      <w:r>
        <w:t>son :</w:t>
      </w:r>
      <w:proofErr w:type="gramEnd"/>
      <w:r>
        <w:t xml:space="preserve"> Letargia, mareos, náuseas, vómitos y dolor epigástrico, los cuales son generalmente transitorios y controlados con el tratamiento de soporte médico sintomático habitual. </w:t>
      </w:r>
    </w:p>
    <w:p w:rsidR="003C6430" w:rsidRDefault="003C6430" w:rsidP="003C6430">
      <w:pPr>
        <w:pStyle w:val="NormalWeb"/>
      </w:pPr>
      <w:r>
        <w:t xml:space="preserve">Puede presentarse casos de hemorragia digestiva, así como (en raros casos) hipertensión arterial, insuficiencia renal aguda, depresión respiratoria. </w:t>
      </w:r>
    </w:p>
    <w:p w:rsidR="003C6430" w:rsidRDefault="003C6430" w:rsidP="003C6430">
      <w:pPr>
        <w:pStyle w:val="NormalWeb"/>
      </w:pPr>
      <w:r>
        <w:t>No existen antídotos específicos ni tampoco los procesos de tipo hemodiálisis son útiles en caso de sobredosificación.</w:t>
      </w:r>
    </w:p>
    <w:p w:rsidR="003C6430" w:rsidRDefault="003C6430" w:rsidP="003C6430">
      <w:pPr>
        <w:pStyle w:val="NormalWeb"/>
      </w:pPr>
      <w:r>
        <w:t>En caso de sobredosis o ingestión accidental, consultar al Servicio de Toxicología del Hospital más cercano. En Paraguay, consultar al Servicio de Toxicología del Hospital de EMERGENCIAS MEDICAS Tel.: 220-418 o el 204-800 (int. 011).</w:t>
      </w:r>
    </w:p>
    <w:p w:rsidR="003C6430" w:rsidRDefault="003C6430" w:rsidP="003C6430">
      <w:pPr>
        <w:pStyle w:val="NormalWeb"/>
      </w:pPr>
      <w:r>
        <w:t>RESTRICCIONES DE USO:</w:t>
      </w:r>
    </w:p>
    <w:p w:rsidR="003C6430" w:rsidRDefault="003C6430" w:rsidP="003C6430">
      <w:pPr>
        <w:pStyle w:val="NormalWeb"/>
      </w:pPr>
      <w:r>
        <w:t>En sujetos asmáticos con antecedentes de hipersensibilidad al broncoespasmo se deberá prestar especial atención al administrar antiinflamatorios ya que pueden desencadenar cuadros fatales. A las dosis aconsejadas el Celecoxib no parece afectar la agregación plaquetaria, ni el tiempo de protrombina.</w:t>
      </w:r>
    </w:p>
    <w:p w:rsidR="003C6430" w:rsidRDefault="003C6430" w:rsidP="003C6430">
      <w:pPr>
        <w:pStyle w:val="NormalWeb"/>
      </w:pPr>
      <w:r>
        <w:t>CONSERVACION:</w:t>
      </w:r>
    </w:p>
    <w:p w:rsidR="003C6430" w:rsidRDefault="003C6430" w:rsidP="003C6430">
      <w:pPr>
        <w:pStyle w:val="NormalWeb"/>
      </w:pPr>
      <w:r>
        <w:t>Almacenar a temperatura entre 15° y 30°C</w:t>
      </w:r>
    </w:p>
    <w:p w:rsidR="003C6430" w:rsidRDefault="003C6430" w:rsidP="003C6430">
      <w:pPr>
        <w:pStyle w:val="NormalWeb"/>
      </w:pPr>
      <w:r>
        <w:t>PRESENTACIONES:</w:t>
      </w:r>
    </w:p>
    <w:p w:rsidR="003C6430" w:rsidRDefault="003C6430" w:rsidP="003C6430">
      <w:pPr>
        <w:pStyle w:val="NormalWeb"/>
      </w:pPr>
      <w:r>
        <w:t>ELIFLAM® 100: Envase conteniendo 20 cápsulas.</w:t>
      </w:r>
    </w:p>
    <w:p w:rsidR="003C6430" w:rsidRDefault="003C6430" w:rsidP="003C6430">
      <w:pPr>
        <w:pStyle w:val="NormalWeb"/>
      </w:pPr>
      <w:r>
        <w:t>ELIFLAM® 200: Envase conteniendo 20 cápsulas.</w:t>
      </w:r>
    </w:p>
    <w:p w:rsidR="003C6430" w:rsidRDefault="003C6430" w:rsidP="003C6430">
      <w:pPr>
        <w:pStyle w:val="NormalWeb"/>
      </w:pPr>
      <w:r>
        <w:t>Estos medicamentos deben ser usados únicamente por prescripción médica y no podrán repetirse sin nueva indicación del facultativo.</w:t>
      </w:r>
    </w:p>
    <w:p w:rsidR="003C6430" w:rsidRDefault="003C6430" w:rsidP="003C6430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3C6430" w:rsidRDefault="003C6430" w:rsidP="003C6430">
      <w:pPr>
        <w:pStyle w:val="NormalWeb"/>
      </w:pPr>
      <w:r>
        <w:t>Si Ud. es deportista y está sometido a control de doping, no consuma estos productos sin consultar a su médico.</w:t>
      </w:r>
    </w:p>
    <w:p w:rsidR="003C6430" w:rsidRDefault="003C6430" w:rsidP="003C6430">
      <w:pPr>
        <w:pStyle w:val="NormalWeb"/>
      </w:pPr>
      <w:r>
        <w:t>Paraguay: QUIMFA S.A. | D.T.: Laura Ramírez Reg. Prof. Nº 4142 Venta Bajo Receta. Bolivia: Para QUIMFA BOLIVIA S.A. Calle Francisco Gutiérrez Nº 93 Telef.: (591)-3-3333346 | Santa Cruz | D. T.: Farm. Lizeth Yucra Peredo Mat.Prof.: Y-37 | Venta Bajo Receta Médica.</w:t>
      </w:r>
    </w:p>
    <w:p w:rsidR="003C6430" w:rsidRDefault="003C6430" w:rsidP="003C6430">
      <w:pPr>
        <w:pStyle w:val="NormalWeb"/>
      </w:pPr>
      <w:r>
        <w:t>MANTENER FUERA DEL ALCANCE DE LOS NIÑOS</w:t>
      </w:r>
    </w:p>
    <w:p w:rsidR="002F236D" w:rsidRPr="003C6430" w:rsidRDefault="002F236D" w:rsidP="003C6430">
      <w:bookmarkStart w:id="0" w:name="_GoBack"/>
      <w:bookmarkEnd w:id="0"/>
    </w:p>
    <w:sectPr w:rsidR="002F236D" w:rsidRPr="003C6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156470"/>
    <w:rsid w:val="001F0CA4"/>
    <w:rsid w:val="00284A81"/>
    <w:rsid w:val="002B756A"/>
    <w:rsid w:val="002F236D"/>
    <w:rsid w:val="002F5808"/>
    <w:rsid w:val="003C6430"/>
    <w:rsid w:val="003F6B1E"/>
    <w:rsid w:val="00424175"/>
    <w:rsid w:val="004B3F2C"/>
    <w:rsid w:val="00502A25"/>
    <w:rsid w:val="0054013F"/>
    <w:rsid w:val="00552EFB"/>
    <w:rsid w:val="005D1962"/>
    <w:rsid w:val="006673B5"/>
    <w:rsid w:val="00681ABF"/>
    <w:rsid w:val="00844C9A"/>
    <w:rsid w:val="00876A05"/>
    <w:rsid w:val="009218EF"/>
    <w:rsid w:val="009B1A8F"/>
    <w:rsid w:val="00A25A47"/>
    <w:rsid w:val="00AF5E2E"/>
    <w:rsid w:val="00B01D7C"/>
    <w:rsid w:val="00B31B9E"/>
    <w:rsid w:val="00B57D9F"/>
    <w:rsid w:val="00BD691D"/>
    <w:rsid w:val="00C435CE"/>
    <w:rsid w:val="00CB37E1"/>
    <w:rsid w:val="00D42B6B"/>
    <w:rsid w:val="00DB0824"/>
    <w:rsid w:val="00E12158"/>
    <w:rsid w:val="00E24A06"/>
    <w:rsid w:val="00EC080D"/>
    <w:rsid w:val="00F72641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2020-12-10T14:19:00Z</dcterms:created>
  <dcterms:modified xsi:type="dcterms:W3CDTF">2020-12-10T14:19:00Z</dcterms:modified>
</cp:coreProperties>
</file>