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7C" w:rsidRPr="0076637C" w:rsidRDefault="0076637C" w:rsidP="0076637C">
      <w:pPr>
        <w:jc w:val="center"/>
        <w:rPr>
          <w:sz w:val="40"/>
          <w:szCs w:val="40"/>
        </w:rPr>
      </w:pPr>
      <w:r w:rsidRPr="0076637C">
        <w:rPr>
          <w:sz w:val="40"/>
          <w:szCs w:val="40"/>
        </w:rPr>
        <w:t>FUNGAREST 2%</w:t>
      </w:r>
    </w:p>
    <w:p w:rsidR="007067C4" w:rsidRPr="0076637C" w:rsidRDefault="0076637C" w:rsidP="0076637C">
      <w:pPr>
        <w:jc w:val="center"/>
        <w:rPr>
          <w:sz w:val="40"/>
          <w:szCs w:val="40"/>
        </w:rPr>
      </w:pPr>
      <w:r w:rsidRPr="0076637C">
        <w:rPr>
          <w:sz w:val="40"/>
          <w:szCs w:val="40"/>
        </w:rPr>
        <w:t>SERTACONAZOL NITRATO 2%</w:t>
      </w:r>
    </w:p>
    <w:p w:rsidR="0076637C" w:rsidRDefault="0076637C" w:rsidP="0076637C">
      <w:pPr>
        <w:jc w:val="both"/>
      </w:pPr>
    </w:p>
    <w:p w:rsidR="0076637C" w:rsidRDefault="0076637C" w:rsidP="0076637C">
      <w:pPr>
        <w:jc w:val="both"/>
      </w:pPr>
      <w:r>
        <w:t xml:space="preserve">Venta Bajo Receta                                                 </w:t>
      </w:r>
      <w:r>
        <w:t xml:space="preserve">    </w:t>
      </w:r>
      <w:r>
        <w:t xml:space="preserve">     Crema </w:t>
      </w:r>
    </w:p>
    <w:p w:rsidR="0076637C" w:rsidRDefault="0076637C" w:rsidP="0076637C">
      <w:pPr>
        <w:jc w:val="both"/>
      </w:pPr>
      <w:r>
        <w:t xml:space="preserve">Industria Paraguaya                                                       V.A.: Tópica                  </w:t>
      </w:r>
    </w:p>
    <w:p w:rsidR="0076637C" w:rsidRDefault="0076637C" w:rsidP="0076637C">
      <w:pPr>
        <w:jc w:val="both"/>
      </w:pPr>
    </w:p>
    <w:p w:rsidR="0076637C" w:rsidRDefault="0076637C" w:rsidP="0076637C">
      <w:pPr>
        <w:jc w:val="both"/>
      </w:pPr>
      <w:r>
        <w:t>FORMULA:</w:t>
      </w:r>
    </w:p>
    <w:p w:rsidR="0076637C" w:rsidRDefault="0076637C" w:rsidP="0076637C">
      <w:pPr>
        <w:jc w:val="both"/>
      </w:pPr>
      <w:r>
        <w:t>Cada 100 g contiene:</w:t>
      </w:r>
    </w:p>
    <w:p w:rsidR="0076637C" w:rsidRDefault="0076637C" w:rsidP="0076637C">
      <w:pPr>
        <w:jc w:val="both"/>
      </w:pPr>
      <w:proofErr w:type="spellStart"/>
      <w:r>
        <w:t>Sertaconazol</w:t>
      </w:r>
      <w:proofErr w:type="spellEnd"/>
      <w:r>
        <w:t xml:space="preserve"> Nitrato ................................................................... 2 g </w:t>
      </w:r>
    </w:p>
    <w:p w:rsidR="0076637C" w:rsidRDefault="0076637C" w:rsidP="0076637C">
      <w:pPr>
        <w:jc w:val="both"/>
      </w:pPr>
      <w:r>
        <w:t xml:space="preserve">Excipientes ............................................................................. </w:t>
      </w:r>
      <w:proofErr w:type="spellStart"/>
      <w:r>
        <w:t>c.s.p</w:t>
      </w:r>
      <w:proofErr w:type="spellEnd"/>
      <w:r>
        <w:t>.</w:t>
      </w:r>
    </w:p>
    <w:p w:rsidR="0076637C" w:rsidRDefault="0076637C" w:rsidP="0076637C">
      <w:pPr>
        <w:jc w:val="both"/>
      </w:pPr>
    </w:p>
    <w:p w:rsidR="0076637C" w:rsidRDefault="0076637C" w:rsidP="0076637C">
      <w:pPr>
        <w:jc w:val="both"/>
      </w:pPr>
      <w:r>
        <w:t>ACCION TERAPEUTICA:</w:t>
      </w:r>
    </w:p>
    <w:p w:rsidR="0076637C" w:rsidRDefault="0076637C" w:rsidP="0076637C">
      <w:pPr>
        <w:jc w:val="both"/>
      </w:pPr>
      <w:r>
        <w:t>Antimicótico Tópico.</w:t>
      </w:r>
    </w:p>
    <w:p w:rsidR="0076637C" w:rsidRDefault="0076637C" w:rsidP="0076637C">
      <w:pPr>
        <w:jc w:val="both"/>
      </w:pPr>
    </w:p>
    <w:p w:rsidR="0076637C" w:rsidRDefault="0076637C" w:rsidP="0076637C">
      <w:pPr>
        <w:jc w:val="both"/>
      </w:pPr>
      <w:r>
        <w:t>MECANISMO DE ACCION Y DATOS FARMACOCINETICOS:</w:t>
      </w:r>
    </w:p>
    <w:p w:rsidR="0076637C" w:rsidRDefault="0076637C" w:rsidP="0076637C">
      <w:pPr>
        <w:jc w:val="both"/>
      </w:pPr>
      <w:r>
        <w:t xml:space="preserve">El </w:t>
      </w:r>
      <w:proofErr w:type="spellStart"/>
      <w:r>
        <w:t>Sertaconazol</w:t>
      </w:r>
      <w:proofErr w:type="spellEnd"/>
      <w:r>
        <w:t xml:space="preserve"> (D.C.I.) antimicótico tópico que aporta una nueva estructura química. Se trata de un </w:t>
      </w:r>
      <w:proofErr w:type="spellStart"/>
      <w:r>
        <w:t>benzotiofeno</w:t>
      </w:r>
      <w:proofErr w:type="spellEnd"/>
      <w:r>
        <w:t xml:space="preserve"> 3,7- </w:t>
      </w:r>
      <w:proofErr w:type="spellStart"/>
      <w:r>
        <w:t>disustituido</w:t>
      </w:r>
      <w:proofErr w:type="spellEnd"/>
      <w:r>
        <w:t xml:space="preserve">, uno de cuyos radicales porta la matriz </w:t>
      </w:r>
      <w:proofErr w:type="spellStart"/>
      <w:r>
        <w:t>imidazolítica</w:t>
      </w:r>
      <w:proofErr w:type="spellEnd"/>
      <w:r>
        <w:t>.</w:t>
      </w:r>
    </w:p>
    <w:p w:rsidR="0076637C" w:rsidRDefault="0076637C" w:rsidP="0076637C">
      <w:pPr>
        <w:jc w:val="both"/>
      </w:pPr>
      <w:r>
        <w:t xml:space="preserve">La estructura química </w:t>
      </w:r>
      <w:proofErr w:type="spellStart"/>
      <w:r>
        <w:t>benzotiofenomatriz</w:t>
      </w:r>
      <w:proofErr w:type="spellEnd"/>
      <w:r>
        <w:t xml:space="preserve"> </w:t>
      </w:r>
      <w:proofErr w:type="spellStart"/>
      <w:r>
        <w:t>azolítica</w:t>
      </w:r>
      <w:proofErr w:type="spellEnd"/>
      <w:r>
        <w:t xml:space="preserve"> y su gran </w:t>
      </w:r>
      <w:proofErr w:type="spellStart"/>
      <w:r>
        <w:t>lipofilia</w:t>
      </w:r>
      <w:proofErr w:type="spellEnd"/>
      <w:r>
        <w:t>, le confiere potente actividad fungicida, amplio espectro de acción y gran poder de penetración cutánea.</w:t>
      </w:r>
    </w:p>
    <w:p w:rsidR="0076637C" w:rsidRDefault="0076637C" w:rsidP="0076637C">
      <w:pPr>
        <w:jc w:val="both"/>
      </w:pPr>
      <w:r>
        <w:t>La actividad fungicida se debe a un efecto directo sobre la membrana plasmática del hongo.</w:t>
      </w:r>
    </w:p>
    <w:p w:rsidR="0076637C" w:rsidRDefault="0076637C" w:rsidP="0076637C">
      <w:pPr>
        <w:jc w:val="both"/>
      </w:pPr>
      <w:r>
        <w:t xml:space="preserve">Esta acción fungicida se explica por la analogía estructural </w:t>
      </w:r>
      <w:proofErr w:type="spellStart"/>
      <w:r>
        <w:t>benzotiofeno</w:t>
      </w:r>
      <w:proofErr w:type="spellEnd"/>
      <w:r>
        <w:t>-triptófano, lo cual provoca la formación de cráteres visibles por microscopia electrónica, a través de lo que se produce un escape masivo de K+ y ATP, cuyo aumento se corresponde con una rápida disminución de hongos viables.</w:t>
      </w:r>
    </w:p>
    <w:p w:rsidR="0076637C" w:rsidRDefault="0076637C" w:rsidP="0076637C">
      <w:pPr>
        <w:jc w:val="both"/>
      </w:pPr>
      <w:r>
        <w:t xml:space="preserve">Perfil farmacológico: La determinación de la actividad antifúngica de </w:t>
      </w:r>
      <w:proofErr w:type="spellStart"/>
      <w:r>
        <w:t>Sertaconazol</w:t>
      </w:r>
      <w:proofErr w:type="spellEnd"/>
      <w:r>
        <w:t xml:space="preserve">, un nuevo agente para uso tópico, se </w:t>
      </w:r>
      <w:proofErr w:type="spellStart"/>
      <w:r>
        <w:t>llevo</w:t>
      </w:r>
      <w:proofErr w:type="spellEnd"/>
      <w:r>
        <w:t xml:space="preserve"> a cabo mediante la determinación de las concentraciones mínimas inhibitorias frente a levaduras (n = 180), </w:t>
      </w:r>
      <w:proofErr w:type="spellStart"/>
      <w:r>
        <w:t>dermatófitos</w:t>
      </w:r>
      <w:proofErr w:type="spellEnd"/>
      <w:r>
        <w:t xml:space="preserve"> (n = 86) y hongos filamentosos oportunistas (n = 56). El </w:t>
      </w:r>
      <w:proofErr w:type="spellStart"/>
      <w:r>
        <w:t>Sertaconazol</w:t>
      </w:r>
      <w:proofErr w:type="spellEnd"/>
      <w:r>
        <w:t xml:space="preserve"> fue activo frente a todos los gérmenes ensayados a concentraciones fácilmente alcanzables tras la administración tópica del producto a 1 o 2%.</w:t>
      </w:r>
    </w:p>
    <w:p w:rsidR="0076637C" w:rsidRDefault="0076637C" w:rsidP="0076637C">
      <w:pPr>
        <w:jc w:val="both"/>
      </w:pPr>
      <w:r>
        <w:t>Las especies susceptibles a su acción fueron: Levaduras (</w:t>
      </w:r>
      <w:proofErr w:type="spellStart"/>
      <w:r>
        <w:t>Candida</w:t>
      </w:r>
      <w:proofErr w:type="spellEnd"/>
      <w:r>
        <w:t xml:space="preserve">, </w:t>
      </w:r>
      <w:proofErr w:type="spellStart"/>
      <w:r>
        <w:t>Torulopsis</w:t>
      </w:r>
      <w:proofErr w:type="spellEnd"/>
      <w:r>
        <w:t xml:space="preserve">, </w:t>
      </w:r>
      <w:proofErr w:type="spellStart"/>
      <w:r>
        <w:t>Trichoporon</w:t>
      </w:r>
      <w:proofErr w:type="spellEnd"/>
      <w:r>
        <w:t xml:space="preserve">, </w:t>
      </w:r>
      <w:proofErr w:type="spellStart"/>
      <w:r>
        <w:t>Malassezia</w:t>
      </w:r>
      <w:proofErr w:type="spellEnd"/>
      <w:r>
        <w:t xml:space="preserve">). </w:t>
      </w:r>
      <w:proofErr w:type="spellStart"/>
      <w:r>
        <w:t>Dermatófitos</w:t>
      </w:r>
      <w:proofErr w:type="spellEnd"/>
      <w:r>
        <w:t xml:space="preserve"> (</w:t>
      </w:r>
      <w:proofErr w:type="spellStart"/>
      <w:r>
        <w:t>Microsporum</w:t>
      </w:r>
      <w:proofErr w:type="spellEnd"/>
      <w:r>
        <w:t xml:space="preserve">, </w:t>
      </w:r>
      <w:proofErr w:type="spellStart"/>
      <w:r>
        <w:t>Trichophyton</w:t>
      </w:r>
      <w:proofErr w:type="spellEnd"/>
      <w:r>
        <w:t xml:space="preserve">, </w:t>
      </w:r>
      <w:proofErr w:type="spellStart"/>
      <w:r>
        <w:t>Epidermophyton</w:t>
      </w:r>
      <w:proofErr w:type="spellEnd"/>
      <w:r>
        <w:t>) y hongos filamentosos oportunistas, así como otros agentes causantes y acompañantes de infecciones de piel y mucosas, tales como gérmenes grampositivos (</w:t>
      </w:r>
      <w:proofErr w:type="spellStart"/>
      <w:r>
        <w:t>Staphylococcus</w:t>
      </w:r>
      <w:proofErr w:type="spellEnd"/>
      <w:r>
        <w:t xml:space="preserve">, </w:t>
      </w:r>
      <w:proofErr w:type="spellStart"/>
      <w:r>
        <w:t>Streptococcus</w:t>
      </w:r>
      <w:proofErr w:type="spellEnd"/>
      <w:r>
        <w:t>).</w:t>
      </w:r>
    </w:p>
    <w:p w:rsidR="0076637C" w:rsidRDefault="0076637C" w:rsidP="0076637C">
      <w:pPr>
        <w:jc w:val="both"/>
      </w:pPr>
      <w:r>
        <w:t>Esta actividad in vitro ha sido confirmada por la eficacia demostrada por el producto en dos modelos experimentales de infección: Dermatosis en cobayo y candidiasis vaginal en ratón.</w:t>
      </w:r>
    </w:p>
    <w:p w:rsidR="0076637C" w:rsidRDefault="0076637C" w:rsidP="0076637C">
      <w:pPr>
        <w:jc w:val="both"/>
      </w:pPr>
      <w:r>
        <w:lastRenderedPageBreak/>
        <w:t xml:space="preserve">Por otra parte, el </w:t>
      </w:r>
      <w:proofErr w:type="spellStart"/>
      <w:r>
        <w:t>Sertaconazol</w:t>
      </w:r>
      <w:proofErr w:type="spellEnd"/>
      <w:r>
        <w:t xml:space="preserve"> demostró poseer un largo tiempo de atención cutánea.</w:t>
      </w:r>
    </w:p>
    <w:p w:rsidR="0076637C" w:rsidRDefault="0076637C" w:rsidP="0076637C">
      <w:pPr>
        <w:jc w:val="both"/>
      </w:pPr>
      <w:r>
        <w:t xml:space="preserve">Absorción: La acción directa del </w:t>
      </w:r>
      <w:proofErr w:type="spellStart"/>
      <w:r>
        <w:t>Sertaconazol</w:t>
      </w:r>
      <w:proofErr w:type="spellEnd"/>
      <w:r>
        <w:t xml:space="preserve"> sobre la membrana se analizó estudiando la liberación de ATP intracelular de los microorganismos al medio extracelular por tiempos muy cortos (10 min) de contacto con </w:t>
      </w:r>
      <w:proofErr w:type="spellStart"/>
      <w:r>
        <w:t>Sertaconazol</w:t>
      </w:r>
      <w:proofErr w:type="spellEnd"/>
      <w:r>
        <w:t xml:space="preserve">, los niveles de ergosterol en tres tiempos prolongados de contacto con el fármaco (24 horas) fueron cuantificados mediante cromatografía líquida, con objeto de determinar la acción fungistática de </w:t>
      </w:r>
      <w:proofErr w:type="spellStart"/>
      <w:r>
        <w:t>Sertaconazol</w:t>
      </w:r>
      <w:proofErr w:type="spellEnd"/>
      <w:r>
        <w:t xml:space="preserve"> marcándolas con C14, para estudiar la absorción sistémica del producto luego de su aplicación dérmica, </w:t>
      </w:r>
      <w:proofErr w:type="spellStart"/>
      <w:r>
        <w:t>Sertaconazol</w:t>
      </w:r>
      <w:proofErr w:type="spellEnd"/>
      <w:r>
        <w:t xml:space="preserve"> produjo una reducción importante del ATP intracelular así como un aumento significativo del ATP extracelular e inhibió del ergosterol de forma concentración-dependiente (IC30:1:15 × 10-7 mol/L) la escasa radiactividad presente en el plasma tras la aplicación dérmica de </w:t>
      </w:r>
      <w:proofErr w:type="spellStart"/>
      <w:r>
        <w:t>Sertaconazol</w:t>
      </w:r>
      <w:proofErr w:type="spellEnd"/>
      <w:r>
        <w:t xml:space="preserve"> muestran una absorción sistémica del producto muy baja, con la consiguiente seguridad en su utilización clínica.</w:t>
      </w:r>
    </w:p>
    <w:p w:rsidR="0076637C" w:rsidRDefault="0076637C" w:rsidP="0076637C">
      <w:pPr>
        <w:jc w:val="both"/>
      </w:pPr>
      <w:r>
        <w:t xml:space="preserve">Metabolismo y excreción: Para definición del grado de absorción sistémica tras la aplicación tópica de 10 mg/kg de </w:t>
      </w:r>
      <w:proofErr w:type="spellStart"/>
      <w:r>
        <w:t>Sertaconazol</w:t>
      </w:r>
      <w:proofErr w:type="spellEnd"/>
      <w:r>
        <w:t xml:space="preserve"> en una superficie de 10 cm2 de la región lumbar de la rata, así como para el estudio de la distribución y excreción del producto, fue necesaria la administración intravenosa de </w:t>
      </w:r>
      <w:proofErr w:type="spellStart"/>
      <w:r>
        <w:t>Sertaconazol</w:t>
      </w:r>
      <w:proofErr w:type="spellEnd"/>
      <w:r>
        <w:t xml:space="preserve"> a dosis idénticas 10 mg/kg en la vena caudal.</w:t>
      </w:r>
    </w:p>
    <w:p w:rsidR="0076637C" w:rsidRDefault="0076637C" w:rsidP="0076637C">
      <w:pPr>
        <w:jc w:val="both"/>
      </w:pPr>
      <w:r>
        <w:t xml:space="preserve">Los niveles de </w:t>
      </w:r>
      <w:proofErr w:type="spellStart"/>
      <w:r>
        <w:t>Sertaconazol</w:t>
      </w:r>
      <w:proofErr w:type="spellEnd"/>
      <w:r>
        <w:t xml:space="preserve"> en órganos y fluidos biológicos mostraron una cierta localización del producto marcado en hígado, congruente con la rápida metabolización hepática del producto y su posterior eliminación biliar que se produce de forma mayoritaria como metabolitos inactivos.</w:t>
      </w:r>
    </w:p>
    <w:p w:rsidR="0076637C" w:rsidRDefault="0076637C" w:rsidP="0076637C">
      <w:pPr>
        <w:jc w:val="both"/>
      </w:pPr>
      <w:proofErr w:type="spellStart"/>
      <w:r>
        <w:t>Sertaconazol</w:t>
      </w:r>
      <w:proofErr w:type="spellEnd"/>
      <w:r>
        <w:t xml:space="preserve"> una vez metabolizado se excreta de forma completa.</w:t>
      </w:r>
    </w:p>
    <w:p w:rsidR="0076637C" w:rsidRDefault="0076637C" w:rsidP="0076637C">
      <w:pPr>
        <w:jc w:val="both"/>
      </w:pPr>
      <w:r>
        <w:t xml:space="preserve">La excreción de los metabolitos inactivos se efectúa fundamentalmente por vía fecal (recuperación de 62.03% de una dosis tópica de </w:t>
      </w:r>
      <w:proofErr w:type="spellStart"/>
      <w:r>
        <w:t>Sertaconazol</w:t>
      </w:r>
      <w:proofErr w:type="spellEnd"/>
      <w:r>
        <w:t xml:space="preserve"> de 10 mg/kg a ratas) y en menor proporción a través de la orina (4% de la misma dosis).</w:t>
      </w:r>
    </w:p>
    <w:p w:rsidR="0076637C" w:rsidRDefault="0076637C" w:rsidP="0076637C">
      <w:pPr>
        <w:jc w:val="both"/>
      </w:pPr>
    </w:p>
    <w:p w:rsidR="0076637C" w:rsidRDefault="0076637C" w:rsidP="0076637C">
      <w:pPr>
        <w:jc w:val="both"/>
      </w:pPr>
      <w:r>
        <w:t>INDICACIONES TERAPEUTICAS:</w:t>
      </w:r>
    </w:p>
    <w:p w:rsidR="0076637C" w:rsidRDefault="0076637C" w:rsidP="0076637C">
      <w:pPr>
        <w:jc w:val="both"/>
      </w:pPr>
      <w:r>
        <w:t>- Dermatomicosis: Tiñas del pie (pie de atleta), de la mano (</w:t>
      </w:r>
      <w:proofErr w:type="spellStart"/>
      <w:r>
        <w:t>tinea</w:t>
      </w:r>
      <w:proofErr w:type="spellEnd"/>
      <w:r>
        <w:t xml:space="preserve"> </w:t>
      </w:r>
      <w:proofErr w:type="spellStart"/>
      <w:r>
        <w:t>manum</w:t>
      </w:r>
      <w:proofErr w:type="spellEnd"/>
      <w:r>
        <w:t>), del cuerpo (</w:t>
      </w:r>
      <w:proofErr w:type="spellStart"/>
      <w:r>
        <w:t>tinea</w:t>
      </w:r>
      <w:proofErr w:type="spellEnd"/>
      <w:r>
        <w:t xml:space="preserve"> </w:t>
      </w:r>
      <w:proofErr w:type="spellStart"/>
      <w:r>
        <w:t>corporis</w:t>
      </w:r>
      <w:proofErr w:type="spellEnd"/>
      <w:r>
        <w:t>), de uñas (onicomicosis), de la ingle (</w:t>
      </w:r>
      <w:proofErr w:type="spellStart"/>
      <w:r>
        <w:t>tinea</w:t>
      </w:r>
      <w:proofErr w:type="spellEnd"/>
      <w:r>
        <w:t xml:space="preserve"> </w:t>
      </w:r>
      <w:proofErr w:type="spellStart"/>
      <w:r>
        <w:t>cruris</w:t>
      </w:r>
      <w:proofErr w:type="spellEnd"/>
      <w:r>
        <w:t>) y zona perianal, del cuero cabelludo (</w:t>
      </w:r>
      <w:proofErr w:type="spellStart"/>
      <w:r>
        <w:t>tinea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) y barba. </w:t>
      </w:r>
    </w:p>
    <w:p w:rsidR="0076637C" w:rsidRDefault="0076637C" w:rsidP="0076637C">
      <w:pPr>
        <w:jc w:val="both"/>
      </w:pPr>
      <w:r>
        <w:t>- Candidiasis cutánea.</w:t>
      </w:r>
    </w:p>
    <w:p w:rsidR="0076637C" w:rsidRDefault="0076637C" w:rsidP="0076637C">
      <w:pPr>
        <w:jc w:val="both"/>
      </w:pPr>
      <w:r>
        <w:t xml:space="preserve"> - Pitiriasis </w:t>
      </w:r>
      <w:proofErr w:type="spellStart"/>
      <w:r>
        <w:t>versicolor</w:t>
      </w:r>
      <w:proofErr w:type="spellEnd"/>
    </w:p>
    <w:p w:rsidR="0076637C" w:rsidRDefault="0076637C" w:rsidP="0076637C">
      <w:pPr>
        <w:jc w:val="both"/>
      </w:pPr>
      <w:r>
        <w:t>POSOLOGIA:</w:t>
      </w:r>
    </w:p>
    <w:p w:rsidR="0076637C" w:rsidRDefault="0076637C" w:rsidP="0076637C">
      <w:pPr>
        <w:jc w:val="both"/>
      </w:pPr>
      <w:r>
        <w:t>Aplicar la crema 1 o 2 veces al día (preferentemente en la noche o mañana y noche), de forma suave y uniforme sobre la lesión, procurando además abarcar 1 cm de la piel sana (aproximadamente) alrededor de la zona afectada.</w:t>
      </w:r>
    </w:p>
    <w:p w:rsidR="0076637C" w:rsidRDefault="0076637C" w:rsidP="0076637C">
      <w:pPr>
        <w:jc w:val="both"/>
      </w:pPr>
      <w:r>
        <w:t>La duración del tratamiento para obtener la curación, varía de un paciente a otro, en función del agente etiológico y de la localización de la infección. En general, se recomiendan cuatro semanas de tratamiento para asegurar una completa curación clínica y microbiológica, y la no aparición de recidivas, si bien, en muchos casos, esta curación clínico-microbiológica aparece antes, entre las dos y las cuatro semanas de tratamiento.</w:t>
      </w:r>
    </w:p>
    <w:p w:rsidR="0076637C" w:rsidRDefault="0076637C" w:rsidP="0076637C">
      <w:pPr>
        <w:jc w:val="both"/>
      </w:pPr>
    </w:p>
    <w:p w:rsidR="0076637C" w:rsidRDefault="0076637C" w:rsidP="0076637C">
      <w:pPr>
        <w:jc w:val="both"/>
      </w:pPr>
      <w:r>
        <w:lastRenderedPageBreak/>
        <w:t>CONTRAINDICACIONES:</w:t>
      </w:r>
    </w:p>
    <w:p w:rsidR="0076637C" w:rsidRDefault="0076637C" w:rsidP="0076637C">
      <w:pPr>
        <w:jc w:val="both"/>
      </w:pPr>
      <w:r>
        <w:t xml:space="preserve">Está contraindicado en pacientes con conocida hipersensibilidad a derivados </w:t>
      </w:r>
      <w:proofErr w:type="spellStart"/>
      <w:r>
        <w:t>imidazólicos</w:t>
      </w:r>
      <w:proofErr w:type="spellEnd"/>
      <w:r>
        <w:t xml:space="preserve"> o a cualquier otro componente de la fórmula.</w:t>
      </w:r>
    </w:p>
    <w:p w:rsidR="0076637C" w:rsidRDefault="0076637C" w:rsidP="0076637C">
      <w:pPr>
        <w:jc w:val="both"/>
      </w:pPr>
    </w:p>
    <w:p w:rsidR="0076637C" w:rsidRDefault="0076637C" w:rsidP="0076637C">
      <w:pPr>
        <w:jc w:val="both"/>
      </w:pPr>
      <w:r>
        <w:t>PRECAUCIONES Y ADVERTENCIAS:</w:t>
      </w:r>
    </w:p>
    <w:p w:rsidR="0076637C" w:rsidRDefault="0076637C" w:rsidP="0076637C">
      <w:pPr>
        <w:jc w:val="both"/>
      </w:pPr>
      <w:r>
        <w:t>- Evitar el contacto con los ojos.</w:t>
      </w:r>
    </w:p>
    <w:p w:rsidR="0076637C" w:rsidRDefault="0076637C" w:rsidP="0076637C">
      <w:pPr>
        <w:jc w:val="both"/>
      </w:pPr>
      <w:r>
        <w:t>- Lavar y secar minuciosamente la zona a tratar.</w:t>
      </w:r>
    </w:p>
    <w:p w:rsidR="0076637C" w:rsidRDefault="0076637C" w:rsidP="0076637C">
      <w:pPr>
        <w:jc w:val="both"/>
      </w:pPr>
      <w:r>
        <w:t>- No utilizar vendajes oclusivos o que no dejen transpirar, ya que podrían favorecer el desarrollo de levaduras y la consiguiente irritación cutánea.</w:t>
      </w:r>
    </w:p>
    <w:p w:rsidR="0076637C" w:rsidRDefault="0076637C" w:rsidP="0076637C">
      <w:pPr>
        <w:jc w:val="both"/>
      </w:pPr>
    </w:p>
    <w:p w:rsidR="0076637C" w:rsidRDefault="0076637C" w:rsidP="0076637C">
      <w:pPr>
        <w:jc w:val="both"/>
      </w:pPr>
      <w:r>
        <w:t>REACCIONES ADVERSAS Y EFECTOS COLATERALES:</w:t>
      </w:r>
    </w:p>
    <w:p w:rsidR="0076637C" w:rsidRDefault="0076637C" w:rsidP="0076637C">
      <w:pPr>
        <w:jc w:val="both"/>
      </w:pPr>
      <w:r>
        <w:t xml:space="preserve">Los efectos adversos de este medicamento son, en general leves y transitorios. Los efectos secundarios más característicos son: Alteraciones alérgicas / dermatológicas como eritema (0.5%), prurito (0.25%). Riesgo de dermatitis por contacto. El tratamiento debe ser suspendido inmediatamente, en el caso de que el paciente experimente algún episodio de irritación y/o </w:t>
      </w:r>
      <w:proofErr w:type="gramStart"/>
      <w:r>
        <w:t>hipersensibilidad</w:t>
      </w:r>
      <w:proofErr w:type="gramEnd"/>
      <w:r>
        <w:t xml:space="preserve"> aunque su seguridad en tratamientos locales resulta óptimo, y no se han observado efectos tóxicos o fotosensibles.</w:t>
      </w:r>
    </w:p>
    <w:p w:rsidR="0076637C" w:rsidRDefault="0076637C" w:rsidP="0076637C">
      <w:pPr>
        <w:jc w:val="both"/>
      </w:pPr>
    </w:p>
    <w:p w:rsidR="0076637C" w:rsidRDefault="0076637C" w:rsidP="0076637C">
      <w:pPr>
        <w:jc w:val="both"/>
      </w:pPr>
      <w:r>
        <w:t>INTERACCIONES CON ALIMENTOS Y MEDICAMENTOS:</w:t>
      </w:r>
    </w:p>
    <w:p w:rsidR="0076637C" w:rsidRDefault="0076637C" w:rsidP="0076637C">
      <w:pPr>
        <w:jc w:val="both"/>
      </w:pPr>
      <w:r>
        <w:t xml:space="preserve">Como otros derivados </w:t>
      </w:r>
      <w:proofErr w:type="spellStart"/>
      <w:r>
        <w:t>imidazólicos</w:t>
      </w:r>
      <w:proofErr w:type="spellEnd"/>
      <w:r>
        <w:t xml:space="preserve"> pueden aumentar el efecto anticoagulante de los derivados de cumarina. Si es necesario deberá ajustarse la dosis del anticoagulante.</w:t>
      </w:r>
    </w:p>
    <w:p w:rsidR="0076637C" w:rsidRDefault="0076637C" w:rsidP="0076637C">
      <w:pPr>
        <w:jc w:val="both"/>
      </w:pPr>
      <w:r>
        <w:t xml:space="preserve">En tratamientos prolongados el </w:t>
      </w:r>
      <w:proofErr w:type="spellStart"/>
      <w:r>
        <w:t>Sertaconazol</w:t>
      </w:r>
      <w:proofErr w:type="spellEnd"/>
      <w:r>
        <w:t xml:space="preserve"> puede potenciar el efecto de los hipoglucémicos y disminuir el efecto de la fenitoína.</w:t>
      </w:r>
    </w:p>
    <w:p w:rsidR="0076637C" w:rsidRDefault="0076637C" w:rsidP="0076637C">
      <w:pPr>
        <w:jc w:val="both"/>
      </w:pPr>
    </w:p>
    <w:p w:rsidR="0076637C" w:rsidRDefault="0076637C" w:rsidP="0076637C">
      <w:pPr>
        <w:jc w:val="both"/>
      </w:pPr>
      <w:r>
        <w:t>SOBREDOSIFICACION:</w:t>
      </w:r>
    </w:p>
    <w:p w:rsidR="0076637C" w:rsidRDefault="0076637C" w:rsidP="0076637C">
      <w:pPr>
        <w:jc w:val="both"/>
      </w:pPr>
      <w:r>
        <w:t xml:space="preserve">Dada la concentración del principio activo y el modo de administración, la intoxicación no es posible, no </w:t>
      </w:r>
      <w:proofErr w:type="gramStart"/>
      <w:r>
        <w:t>obstante</w:t>
      </w:r>
      <w:proofErr w:type="gramEnd"/>
      <w:r>
        <w:t xml:space="preserve"> en caso de ingestión accidental se aplicarán los tratamientos sintomáticos apropiados.</w:t>
      </w:r>
    </w:p>
    <w:p w:rsidR="0076637C" w:rsidRDefault="0076637C" w:rsidP="0076637C">
      <w:pPr>
        <w:jc w:val="both"/>
      </w:pPr>
      <w:r>
        <w:t>En caso de sobredosis o ingesta accidental, consultar al Servicio de Toxicología del Hospital de EMERGENCIAS MEDICAS Tel: 220-418 o el 204-800 (</w:t>
      </w:r>
      <w:proofErr w:type="spellStart"/>
      <w:r>
        <w:t>int</w:t>
      </w:r>
      <w:proofErr w:type="spellEnd"/>
      <w:r>
        <w:t>. 011).</w:t>
      </w:r>
    </w:p>
    <w:p w:rsidR="0076637C" w:rsidRDefault="0076637C" w:rsidP="0076637C">
      <w:pPr>
        <w:jc w:val="both"/>
      </w:pPr>
      <w:r>
        <w:t>RESTRICCIONES DE USO:</w:t>
      </w:r>
    </w:p>
    <w:p w:rsidR="0076637C" w:rsidRDefault="0076637C" w:rsidP="0076637C">
      <w:pPr>
        <w:jc w:val="both"/>
      </w:pPr>
      <w:r>
        <w:t xml:space="preserve">Embarazo y Lactancia: Luego de la administración tópica en grandes cantidades, no se detectan niveles </w:t>
      </w:r>
      <w:proofErr w:type="gramStart"/>
      <w:r>
        <w:t>plasmáticos</w:t>
      </w:r>
      <w:proofErr w:type="gramEnd"/>
      <w:r>
        <w:t xml:space="preserve"> aunque no está demostrada su inocuidad por lo que se deberá evaluar el riesgo/beneficio durante el embarazo y lactancia.</w:t>
      </w:r>
    </w:p>
    <w:p w:rsidR="0076637C" w:rsidRDefault="0076637C" w:rsidP="0076637C">
      <w:pPr>
        <w:jc w:val="both"/>
      </w:pPr>
      <w:bookmarkStart w:id="0" w:name="_GoBack"/>
      <w:bookmarkEnd w:id="0"/>
    </w:p>
    <w:p w:rsidR="0076637C" w:rsidRDefault="0076637C" w:rsidP="0076637C">
      <w:pPr>
        <w:jc w:val="both"/>
      </w:pPr>
    </w:p>
    <w:p w:rsidR="0076637C" w:rsidRDefault="0076637C" w:rsidP="0076637C">
      <w:pPr>
        <w:jc w:val="both"/>
      </w:pPr>
      <w:r>
        <w:lastRenderedPageBreak/>
        <w:t>CONSERVACION:</w:t>
      </w:r>
    </w:p>
    <w:p w:rsidR="0076637C" w:rsidRDefault="0076637C" w:rsidP="0076637C">
      <w:pPr>
        <w:jc w:val="both"/>
      </w:pPr>
      <w:r>
        <w:t>Almacenar a temperatura ambiente a no más de 30 °C.</w:t>
      </w:r>
    </w:p>
    <w:p w:rsidR="0076637C" w:rsidRDefault="0076637C" w:rsidP="0076637C">
      <w:pPr>
        <w:jc w:val="both"/>
      </w:pPr>
    </w:p>
    <w:p w:rsidR="0076637C" w:rsidRDefault="0076637C" w:rsidP="0076637C">
      <w:pPr>
        <w:jc w:val="both"/>
      </w:pPr>
      <w:r>
        <w:t>PRESENTACIONES:</w:t>
      </w:r>
    </w:p>
    <w:p w:rsidR="0076637C" w:rsidRDefault="0076637C" w:rsidP="0076637C">
      <w:pPr>
        <w:jc w:val="both"/>
      </w:pPr>
      <w:r>
        <w:t>Caja conteniendo pomo x 20 g.</w:t>
      </w:r>
    </w:p>
    <w:p w:rsidR="0076637C" w:rsidRDefault="0076637C" w:rsidP="0076637C">
      <w:pPr>
        <w:jc w:val="both"/>
      </w:pPr>
      <w:r>
        <w:t>Caja conteniendo pomo x 45 g.</w:t>
      </w:r>
    </w:p>
    <w:p w:rsidR="0076637C" w:rsidRDefault="0076637C" w:rsidP="0076637C">
      <w:pPr>
        <w:jc w:val="both"/>
      </w:pPr>
    </w:p>
    <w:p w:rsidR="0076637C" w:rsidRDefault="0076637C" w:rsidP="0076637C">
      <w:pPr>
        <w:jc w:val="both"/>
      </w:pPr>
      <w:r>
        <w:t xml:space="preserve">Este medicamento debe ser usado únicamente por prescripción médica y no podrá repetirse sin nueva indicación del facultativo. </w:t>
      </w:r>
    </w:p>
    <w:p w:rsidR="0076637C" w:rsidRDefault="0076637C" w:rsidP="0076637C">
      <w:pPr>
        <w:jc w:val="both"/>
      </w:pPr>
      <w:r>
        <w:t>En caso de uso de estos medicamentos sin prescripción médica, la ocurrencia de efectos adversos e indeseables será de exclusiva responsabilidad de quien lo consuma.</w:t>
      </w:r>
    </w:p>
    <w:p w:rsidR="0076637C" w:rsidRDefault="0076637C" w:rsidP="0076637C">
      <w:pPr>
        <w:jc w:val="both"/>
      </w:pPr>
    </w:p>
    <w:p w:rsidR="0076637C" w:rsidRDefault="0076637C" w:rsidP="0076637C">
      <w:pPr>
        <w:jc w:val="both"/>
      </w:pPr>
      <w:r>
        <w:t>Si Ud. es deportista y está sometido a control de doping, no consuma estos productos sin consultar a su médico.</w:t>
      </w:r>
    </w:p>
    <w:p w:rsidR="0076637C" w:rsidRDefault="0076637C" w:rsidP="0076637C">
      <w:pPr>
        <w:jc w:val="both"/>
      </w:pPr>
    </w:p>
    <w:p w:rsidR="0076637C" w:rsidRDefault="0076637C" w:rsidP="0076637C">
      <w:pPr>
        <w:jc w:val="both"/>
      </w:pPr>
    </w:p>
    <w:p w:rsidR="0076637C" w:rsidRDefault="0076637C" w:rsidP="0076637C">
      <w:pPr>
        <w:jc w:val="both"/>
      </w:pPr>
      <w:r>
        <w:t>Director Técnico: Q. F. Laura Ramírez</w:t>
      </w:r>
    </w:p>
    <w:p w:rsidR="0076637C" w:rsidRDefault="0076637C" w:rsidP="0076637C">
      <w:pPr>
        <w:jc w:val="both"/>
      </w:pPr>
      <w:r>
        <w:t xml:space="preserve">Reg. Prof. </w:t>
      </w:r>
      <w:proofErr w:type="spellStart"/>
      <w:r>
        <w:t>N°</w:t>
      </w:r>
      <w:proofErr w:type="spellEnd"/>
      <w:r>
        <w:t xml:space="preserve"> 4.142</w:t>
      </w:r>
    </w:p>
    <w:p w:rsidR="0076637C" w:rsidRDefault="0076637C" w:rsidP="0076637C">
      <w:pPr>
        <w:jc w:val="both"/>
      </w:pPr>
      <w:r>
        <w:t>Autorizado por D.N.V.S. del M.S.P. y B.S.</w:t>
      </w:r>
    </w:p>
    <w:p w:rsidR="0076637C" w:rsidRDefault="0076637C" w:rsidP="0076637C">
      <w:pPr>
        <w:jc w:val="both"/>
      </w:pPr>
    </w:p>
    <w:p w:rsidR="0076637C" w:rsidRPr="0076637C" w:rsidRDefault="0076637C" w:rsidP="0076637C">
      <w:pPr>
        <w:jc w:val="both"/>
      </w:pPr>
      <w:r>
        <w:t>MANTENER FUERA DEL ALCANCE DE LOS NIÑOS</w:t>
      </w:r>
    </w:p>
    <w:sectPr w:rsidR="0076637C" w:rsidRPr="00766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1562FC"/>
    <w:rsid w:val="003B013B"/>
    <w:rsid w:val="007067C4"/>
    <w:rsid w:val="00755CD2"/>
    <w:rsid w:val="0076637C"/>
    <w:rsid w:val="00B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4A83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2019-03-13T13:14:00Z</dcterms:created>
  <dcterms:modified xsi:type="dcterms:W3CDTF">2019-03-13T13:14:00Z</dcterms:modified>
</cp:coreProperties>
</file>