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3A9DB" w14:textId="77777777" w:rsidR="00F406AA" w:rsidRPr="00F406AA" w:rsidRDefault="00F406AA" w:rsidP="00F406AA">
      <w:pPr>
        <w:spacing w:after="0" w:line="240" w:lineRule="auto"/>
        <w:jc w:val="center"/>
        <w:rPr>
          <w:b/>
          <w:bCs/>
        </w:rPr>
      </w:pPr>
      <w:r w:rsidRPr="00F406AA">
        <w:rPr>
          <w:b/>
          <w:bCs/>
        </w:rPr>
        <w:t>MAXIVIT C</w:t>
      </w:r>
    </w:p>
    <w:p w14:paraId="21981545" w14:textId="62317A6E" w:rsidR="00F406AA" w:rsidRDefault="00F406AA" w:rsidP="00F406AA">
      <w:pPr>
        <w:spacing w:after="0" w:line="240" w:lineRule="auto"/>
        <w:jc w:val="center"/>
        <w:rPr>
          <w:b/>
          <w:bCs/>
        </w:rPr>
      </w:pPr>
      <w:r w:rsidRPr="00F406AA">
        <w:rPr>
          <w:b/>
          <w:bCs/>
        </w:rPr>
        <w:t>VITAMINA C 1000 mg</w:t>
      </w:r>
    </w:p>
    <w:p w14:paraId="1F32C45A" w14:textId="77777777" w:rsidR="00F406AA" w:rsidRPr="00F406AA" w:rsidRDefault="00F406AA" w:rsidP="00F406AA">
      <w:pPr>
        <w:spacing w:before="240" w:after="0" w:line="240" w:lineRule="auto"/>
        <w:jc w:val="center"/>
        <w:rPr>
          <w:b/>
          <w:bCs/>
        </w:rPr>
      </w:pPr>
    </w:p>
    <w:p w14:paraId="162C7013" w14:textId="77777777" w:rsidR="00F406AA" w:rsidRDefault="00F406AA" w:rsidP="00F406AA">
      <w:r>
        <w:t>Venta Libre                                                                                                     Polvo para Solución Oral</w:t>
      </w:r>
    </w:p>
    <w:p w14:paraId="1079085B" w14:textId="081CCFE5" w:rsidR="00F406AA" w:rsidRDefault="00F406AA" w:rsidP="00F406AA">
      <w:r>
        <w:t>Industria Paraguaya                                                                                                               V.A.: Oral</w:t>
      </w:r>
    </w:p>
    <w:p w14:paraId="14C75D72" w14:textId="77777777" w:rsidR="00F406AA" w:rsidRDefault="00F406AA" w:rsidP="00F406AA">
      <w:r>
        <w:t>Formula:</w:t>
      </w:r>
    </w:p>
    <w:p w14:paraId="3F5894AA" w14:textId="77777777" w:rsidR="00F406AA" w:rsidRDefault="00F406AA" w:rsidP="00F406AA">
      <w:r>
        <w:t>Cada sobre con polvo para solución oral contiene:</w:t>
      </w:r>
    </w:p>
    <w:p w14:paraId="444C04B7" w14:textId="77777777" w:rsidR="00F406AA" w:rsidRDefault="00F406AA" w:rsidP="00F406AA">
      <w:r>
        <w:t>Vitamina C……………</w:t>
      </w:r>
      <w:proofErr w:type="gramStart"/>
      <w:r>
        <w:t>…….</w:t>
      </w:r>
      <w:proofErr w:type="gramEnd"/>
      <w:r>
        <w:t xml:space="preserve">…...............  1000 mg </w:t>
      </w:r>
    </w:p>
    <w:p w14:paraId="54603292" w14:textId="335DBAD8" w:rsidR="00F406AA" w:rsidRDefault="00F406AA" w:rsidP="00F406AA">
      <w:r>
        <w:t xml:space="preserve">Excipientes……………….....................…… </w:t>
      </w:r>
      <w:proofErr w:type="spellStart"/>
      <w:r>
        <w:t>c.s.p</w:t>
      </w:r>
      <w:proofErr w:type="spellEnd"/>
      <w:r>
        <w:t>.</w:t>
      </w:r>
    </w:p>
    <w:p w14:paraId="6D679AC5" w14:textId="77777777" w:rsidR="00F406AA" w:rsidRDefault="00F406AA" w:rsidP="00F406AA">
      <w:r>
        <w:t xml:space="preserve">  </w:t>
      </w:r>
    </w:p>
    <w:p w14:paraId="316A671F" w14:textId="344F9DDB" w:rsidR="00F406AA" w:rsidRDefault="00F406AA" w:rsidP="00F406AA">
      <w:r>
        <w:t xml:space="preserve">USOS Y APLICACIONES: </w:t>
      </w:r>
    </w:p>
    <w:p w14:paraId="5A02E920" w14:textId="77777777" w:rsidR="00F406AA" w:rsidRDefault="00F406AA" w:rsidP="00F406AA">
      <w:r>
        <w:t>Complemento alimenticio para disminuir el cansancio y la fatiga y mejorar el funcionamiento normal del sistema inmunitario. Para personas mayores de 12 años.</w:t>
      </w:r>
    </w:p>
    <w:p w14:paraId="3CB65ACD" w14:textId="77777777" w:rsidR="00F406AA" w:rsidRDefault="00F406AA" w:rsidP="00F406AA"/>
    <w:p w14:paraId="3AC62CB6" w14:textId="77777777" w:rsidR="00F406AA" w:rsidRDefault="00F406AA" w:rsidP="00F406AA">
      <w:r>
        <w:t>POSOLOGÍA:</w:t>
      </w:r>
    </w:p>
    <w:p w14:paraId="5FAE0B78" w14:textId="77777777" w:rsidR="00F406AA" w:rsidRDefault="00F406AA" w:rsidP="00F406AA">
      <w:r>
        <w:t xml:space="preserve">Como suplemento alimentario, 1 sobre disuelto en un vaso con agua (aproximadamente 200 </w:t>
      </w:r>
      <w:proofErr w:type="spellStart"/>
      <w:r>
        <w:t>mL</w:t>
      </w:r>
      <w:proofErr w:type="spellEnd"/>
      <w:r>
        <w:t>) al día. El consumo como suplemento alimentario no debe superar la ingesta de un sobre al día.</w:t>
      </w:r>
    </w:p>
    <w:p w14:paraId="32FAF421" w14:textId="77777777" w:rsidR="00F406AA" w:rsidRDefault="00F406AA" w:rsidP="00F406AA"/>
    <w:p w14:paraId="6074614A" w14:textId="77777777" w:rsidR="00F406AA" w:rsidRDefault="00F406AA" w:rsidP="00F406AA">
      <w:r>
        <w:t>CONTRAINDICACIONES</w:t>
      </w:r>
    </w:p>
    <w:p w14:paraId="6BC542C6" w14:textId="77777777" w:rsidR="00F406AA" w:rsidRDefault="00F406AA" w:rsidP="00F406AA">
      <w:r>
        <w:t>-Hipersensibilidad al principio activo a alguno de los excipientes.</w:t>
      </w:r>
    </w:p>
    <w:p w14:paraId="099F9F8B" w14:textId="77777777" w:rsidR="00F406AA" w:rsidRDefault="00F406AA" w:rsidP="00F406AA">
      <w:r>
        <w:t xml:space="preserve">-No está indicado en personas con </w:t>
      </w:r>
      <w:proofErr w:type="spellStart"/>
      <w:r>
        <w:t>diagnostico</w:t>
      </w:r>
      <w:proofErr w:type="spellEnd"/>
      <w:r>
        <w:t xml:space="preserve"> de </w:t>
      </w:r>
      <w:proofErr w:type="spellStart"/>
      <w:r>
        <w:t>hemacromatosis</w:t>
      </w:r>
      <w:proofErr w:type="spellEnd"/>
      <w:r>
        <w:t>.</w:t>
      </w:r>
    </w:p>
    <w:p w14:paraId="4BB8437B" w14:textId="77777777" w:rsidR="00F406AA" w:rsidRDefault="00F406AA" w:rsidP="00F406AA">
      <w:r>
        <w:t>-Problemas en la función renal y en personas con propensión a la formación de cálculos renales.</w:t>
      </w:r>
    </w:p>
    <w:p w14:paraId="7701910F" w14:textId="77777777" w:rsidR="00F406AA" w:rsidRDefault="00F406AA" w:rsidP="00F406AA"/>
    <w:p w14:paraId="1226E251" w14:textId="77777777" w:rsidR="00F406AA" w:rsidRDefault="00F406AA" w:rsidP="00F406AA">
      <w:r>
        <w:t>PRECAUCIONES Y ADVERTENCIAS</w:t>
      </w:r>
    </w:p>
    <w:p w14:paraId="78C4E642" w14:textId="77777777" w:rsidR="00F406AA" w:rsidRDefault="00F406AA" w:rsidP="00F406AA">
      <w:r>
        <w:t xml:space="preserve">-El ácido ascórbico no debe administrarse en dosis más altas o durante una mayor duración que la recomendada; el uso durante largo tiempo de grandes dosis puede producir un aumento de su metabolismo. </w:t>
      </w:r>
    </w:p>
    <w:p w14:paraId="34C271F5" w14:textId="77777777" w:rsidR="00F406AA" w:rsidRDefault="00F406AA" w:rsidP="00F406AA">
      <w:r>
        <w:t>-La sobredosis aguda y crónica de la vitamina C (&gt; 2 g/día) aumenta el riesgo de efectos adversos, incluyendo la formación de depósitos de oxalato de calcio, necrosis tubular aguda, y/o insuficiencia renal.</w:t>
      </w:r>
    </w:p>
    <w:p w14:paraId="229A80C6" w14:textId="77777777" w:rsidR="00F406AA" w:rsidRDefault="00F406AA" w:rsidP="00F406AA">
      <w:r>
        <w:t xml:space="preserve">-Pacientes con insuficiencia renal: los suplementos de ácido ascórbico en estos pacientes pueden producir niveles plasmáticos elevados y consecuente formación y precipitación de oxalato, por </w:t>
      </w:r>
      <w:proofErr w:type="gramStart"/>
      <w:r>
        <w:t>tanto</w:t>
      </w:r>
      <w:proofErr w:type="gramEnd"/>
      <w:r>
        <w:t xml:space="preserve"> no deben recibir grandes dosis de ácido ascórbico. </w:t>
      </w:r>
    </w:p>
    <w:p w14:paraId="1C4AEB52" w14:textId="77777777" w:rsidR="00F406AA" w:rsidRDefault="00F406AA" w:rsidP="00F406AA">
      <w:r>
        <w:lastRenderedPageBreak/>
        <w:t xml:space="preserve">-Pacientes con predisposición a padecer cálculos renales: grandes dosis de ácido ascórbico pueden causar </w:t>
      </w:r>
      <w:proofErr w:type="spellStart"/>
      <w:r>
        <w:t>cristaluria</w:t>
      </w:r>
      <w:proofErr w:type="spellEnd"/>
      <w:r>
        <w:t xml:space="preserve"> de oxalato cálcico; se puede producir acidificación de la orina (ver Reacciones Adversas). Se deben extremar las precauciones, evitando el uso prolongado de suplementos de ácido ascórbico. </w:t>
      </w:r>
    </w:p>
    <w:p w14:paraId="013275E5" w14:textId="77777777" w:rsidR="00F406AA" w:rsidRDefault="00F406AA" w:rsidP="00F406AA">
      <w:r>
        <w:t xml:space="preserve">-Pacientes con deficiencia de glucosa-6-fosfato deshidrogenasa: la administración de grandes dosis de ácido ascórbico puede dar lugar a anemia hemolítica (hemólisis) en estos pacientes. </w:t>
      </w:r>
    </w:p>
    <w:p w14:paraId="07E18226" w14:textId="77777777" w:rsidR="00F406AA" w:rsidRDefault="00F406AA" w:rsidP="00F406AA">
      <w:r>
        <w:t xml:space="preserve">-En pacientes con anemia falciforme, en raras ocasiones la reducción del pH ha producido una crisis de células falciformes. </w:t>
      </w:r>
    </w:p>
    <w:p w14:paraId="714AA8DF" w14:textId="77777777" w:rsidR="00F406AA" w:rsidRDefault="00F406AA" w:rsidP="00F406AA">
      <w:r>
        <w:t xml:space="preserve">-Pacientes con historial de gota: el ácido ascórbico (en grandes dosis) podría producir artritis gotosa en individuos susceptibles y formación de cálculos de ácido úrico. </w:t>
      </w:r>
    </w:p>
    <w:p w14:paraId="583D59C6" w14:textId="77777777" w:rsidR="00F406AA" w:rsidRDefault="00F406AA" w:rsidP="00F406AA">
      <w:r>
        <w:t>-Pacientes en tratamiento con anticoagulantes.</w:t>
      </w:r>
    </w:p>
    <w:p w14:paraId="44A9F299" w14:textId="77777777" w:rsidR="00F406AA" w:rsidRDefault="00F406AA" w:rsidP="00F406AA">
      <w:r>
        <w:t xml:space="preserve">Interferencias con pruebas analíticas </w:t>
      </w:r>
    </w:p>
    <w:p w14:paraId="46CCA01D" w14:textId="77777777" w:rsidR="00F406AA" w:rsidRDefault="00F406AA" w:rsidP="00F406AA">
      <w:r>
        <w:t>- El ácido ascórbico es un potente agente reductor, por lo que puede interferir con numerosas pruebas analíticas basadas en reacciones de óxido-reducción:</w:t>
      </w:r>
    </w:p>
    <w:p w14:paraId="33274BC8" w14:textId="77777777" w:rsidR="00F406AA" w:rsidRDefault="00F406AA" w:rsidP="00F406AA">
      <w:r>
        <w:t xml:space="preserve">-Determinación de glucosa en orina: falso aumento de glucosa en orina, aunque no tiene efecto real en los niveles de glucosa en sangre, por el método de sulfato cúprico y falsa disminución de glucosa en orina por el método de la glucosa oxidasa. </w:t>
      </w:r>
    </w:p>
    <w:p w14:paraId="059309EE" w14:textId="77777777" w:rsidR="00F406AA" w:rsidRDefault="00F406AA" w:rsidP="00F406AA">
      <w:r>
        <w:t xml:space="preserve">-Determinación de creatinina, ácido úrico y fosfatos inorgánicos en orina, suero y sangre oculta en las heces. El uso de pruebas específicas que no dependen de las propiedades </w:t>
      </w:r>
      <w:proofErr w:type="spellStart"/>
      <w:r>
        <w:t>recutoras</w:t>
      </w:r>
      <w:proofErr w:type="spellEnd"/>
      <w:r>
        <w:t xml:space="preserve"> o la interrupción del suplemento diario de ácido ascórbico evitará cualquier interferencia indeseable. Medida del paracetamol en orina: falsos negativos; puede que el ácido ascórbico interfiere con los </w:t>
      </w:r>
      <w:proofErr w:type="spellStart"/>
      <w:r>
        <w:t>tests</w:t>
      </w:r>
      <w:proofErr w:type="spellEnd"/>
      <w:r>
        <w:t xml:space="preserve"> de cribado basados en hidrólisis y formación de azul de </w:t>
      </w:r>
      <w:proofErr w:type="spellStart"/>
      <w:r>
        <w:t>indofenol</w:t>
      </w:r>
      <w:proofErr w:type="spellEnd"/>
      <w:r>
        <w:t xml:space="preserve"> cromógeno. </w:t>
      </w:r>
    </w:p>
    <w:p w14:paraId="74F0B3DE" w14:textId="77777777" w:rsidR="00F406AA" w:rsidRDefault="00F406AA" w:rsidP="00F406AA">
      <w:r>
        <w:t xml:space="preserve">-Test de sangre oculta en heces: falso </w:t>
      </w:r>
      <w:proofErr w:type="spellStart"/>
      <w:r>
        <w:t>guaiac</w:t>
      </w:r>
      <w:proofErr w:type="spellEnd"/>
      <w:r>
        <w:t xml:space="preserve"> negativo; evitar la administración de vitamina C exógena 48-72 horas antes de la prueba. </w:t>
      </w:r>
    </w:p>
    <w:p w14:paraId="513145A2" w14:textId="77777777" w:rsidR="00F406AA" w:rsidRDefault="00F406AA" w:rsidP="00F406AA">
      <w:r>
        <w:t>-Determinación de carbamazepina: falsos incrementos en niveles de carbamazepina, con grandes dosis de ácido ascórbico (mayores de 500 mg al día) y fluoruros (dosis indeterminada), cuando se utiliza el método de Ames ARIS (R).</w:t>
      </w:r>
    </w:p>
    <w:p w14:paraId="6A492699" w14:textId="77777777" w:rsidR="00F406AA" w:rsidRDefault="00F406AA" w:rsidP="00F406AA">
      <w:r>
        <w:t xml:space="preserve">- Pacientes con trastornos en las reservas de hierro (con elevadas reservas de hierro): el consumo de suplementos de vitamina C por estos individuos puede contribuir a daño oxidativo in vivo. </w:t>
      </w:r>
    </w:p>
    <w:p w14:paraId="135AB81E" w14:textId="77777777" w:rsidR="00F406AA" w:rsidRDefault="00F406AA" w:rsidP="00F406AA">
      <w:r>
        <w:t xml:space="preserve">“Este producto no sirve para el </w:t>
      </w:r>
      <w:proofErr w:type="spellStart"/>
      <w:r>
        <w:t>diagnostico</w:t>
      </w:r>
      <w:proofErr w:type="spellEnd"/>
      <w:r>
        <w:t xml:space="preserve">, tratamiento, o cura de alguna enfermedad y no suple una alimentación equilibrada”. </w:t>
      </w:r>
    </w:p>
    <w:p w14:paraId="1A560608" w14:textId="77777777" w:rsidR="00F406AA" w:rsidRDefault="00F406AA" w:rsidP="00F406AA">
      <w:r>
        <w:t xml:space="preserve">“En caso de embarazo, lactancia o niños, consultar a su médico antes de consumir este producto” </w:t>
      </w:r>
    </w:p>
    <w:p w14:paraId="71321E0C" w14:textId="77777777" w:rsidR="00F406AA" w:rsidRDefault="00F406AA" w:rsidP="00F406AA">
      <w:r>
        <w:t>REACCIONES ADVERSAS:</w:t>
      </w:r>
    </w:p>
    <w:p w14:paraId="2AB79498" w14:textId="77777777" w:rsidR="00F406AA" w:rsidRDefault="00F406AA" w:rsidP="00F406AA">
      <w:r>
        <w:t>Un consumo excesivo puede tener efectos laxantes.</w:t>
      </w:r>
    </w:p>
    <w:p w14:paraId="5FCC43CA" w14:textId="77777777" w:rsidR="00F406AA" w:rsidRDefault="00F406AA" w:rsidP="00F406AA">
      <w:proofErr w:type="gramStart"/>
      <w:r>
        <w:t>Además</w:t>
      </w:r>
      <w:proofErr w:type="gramEnd"/>
      <w:r>
        <w:t xml:space="preserve"> puede producir las siguientes reacciones adversas:</w:t>
      </w:r>
    </w:p>
    <w:p w14:paraId="3A517B8B" w14:textId="77777777" w:rsidR="00F406AA" w:rsidRDefault="00F406AA" w:rsidP="00F406AA">
      <w:r>
        <w:lastRenderedPageBreak/>
        <w:t xml:space="preserve">-Trastornos gastrointestinales: El síntoma más común es la aparición de diarrea, que podría ser debida a los efectos osmóticos del ácido ascórbico en la luz intestinal. También se puede presentar náuseas, vómitos, dolor abdominal y gastrointestinal, ardor de estómago, espasmo abdominal y flatulencia; raramente, esofagitis y obstrucción intestinal. </w:t>
      </w:r>
    </w:p>
    <w:p w14:paraId="62FD5132" w14:textId="77777777" w:rsidR="00F406AA" w:rsidRDefault="00F406AA" w:rsidP="00F406AA">
      <w:r>
        <w:t xml:space="preserve">-Trastornos del sistema inmunológico: Reacción alérgica, reacción anafiláctica, shock anafiláctico. Se puede presentar reacciones de hipersensibilidad con manifestaciones de laboratorio y clínicas, incluyendo síndrome de asma alérgico, reacciones de leve a moderadas que pueden potencialmente afectar la piel, tracto respiratorio, tracto gastrointestinal y sistema cardiovascular, incluyendo síntomas como erupción, urticaria, edema alérgico y angioedema, prurito, dificultad cardio-respiratoria, y reacciones graves, incluyendo shock anafiláctico. </w:t>
      </w:r>
    </w:p>
    <w:p w14:paraId="2B20D2DE" w14:textId="77777777" w:rsidR="00F406AA" w:rsidRDefault="00F406AA" w:rsidP="00F406AA">
      <w:r>
        <w:t xml:space="preserve">-Trastornos del metabolismo y de la nutrición: En pacientes predispuestos especialmente, se podría producir artritis gotosa y formarse cálculos de ácido úrico. </w:t>
      </w:r>
    </w:p>
    <w:p w14:paraId="2546511D" w14:textId="77777777" w:rsidR="00F406AA" w:rsidRDefault="00F406AA" w:rsidP="00F406AA">
      <w:r>
        <w:t xml:space="preserve">-Trastornos renales y urinarios: La administración de ácido ascórbico en individuos predispuestos a incremento de formación de cálculos, se puede asociar a la producción de cálculos de oxalato, urato o cistina, o precipitación de medicamentos en el tracto urinario. Los pacientes con mayores riesgos son los que tienen alteración renal. </w:t>
      </w:r>
    </w:p>
    <w:p w14:paraId="15A27D6F" w14:textId="77777777" w:rsidR="00F406AA" w:rsidRDefault="00F406AA" w:rsidP="00F406AA">
      <w:r>
        <w:t>Notificación de sospechas de reacciones adversas</w:t>
      </w:r>
    </w:p>
    <w:p w14:paraId="15B2D222" w14:textId="77777777" w:rsidR="00F406AA" w:rsidRDefault="00F406AA" w:rsidP="00F406AA">
      <w:r>
        <w:t xml:space="preserve">Es importante notificar las sospechas de reacciones adversas tras su autorización. Ello permite una supervisión continuada de la relación beneficio/riesgo del producto. Se invita a los profesionales sanitarios a notificar las sospechas de reacciones adversas a través del Sistema de Farmacovigilancia: farmacovigilancia@quimfa.com.py </w:t>
      </w:r>
    </w:p>
    <w:p w14:paraId="08342EC8" w14:textId="77777777" w:rsidR="00F406AA" w:rsidRDefault="00F406AA" w:rsidP="00F406AA"/>
    <w:p w14:paraId="54F36C9F" w14:textId="77777777" w:rsidR="00F406AA" w:rsidRDefault="00F406AA" w:rsidP="00F406AA">
      <w:r>
        <w:t xml:space="preserve">SOBREDOSIFICACION: </w:t>
      </w:r>
    </w:p>
    <w:p w14:paraId="199AF1EC" w14:textId="77777777" w:rsidR="00F406AA" w:rsidRDefault="00F406AA" w:rsidP="00F406AA">
      <w:r>
        <w:t xml:space="preserve">No hay evidencia que este producto pueda producir sobredosis si se utiliza tal y como se recomienda. </w:t>
      </w:r>
    </w:p>
    <w:p w14:paraId="683F9C43" w14:textId="77777777" w:rsidR="00F406AA" w:rsidRDefault="00F406AA" w:rsidP="00F406AA">
      <w:r>
        <w:t xml:space="preserve">Se debe tener en cuenta la ingesta de ácido ascórbico a partir de cualquier otra fuente. El uso prolongado de grandes dosis de ácido ascórbico puede producir un aumento del metabolismo del ácido ascórbico. </w:t>
      </w:r>
    </w:p>
    <w:p w14:paraId="6B5A92A6" w14:textId="77777777" w:rsidR="00F406AA" w:rsidRDefault="00F406AA" w:rsidP="00F406AA">
      <w:r>
        <w:t xml:space="preserve">Los signos clínicos y síntomas, los hallazgos de laboratorio, y las consecuencias de la sobredosis son muy diversos, dependen de la susceptibilidad de un individuo y las circunstancias que rodean. </w:t>
      </w:r>
    </w:p>
    <w:p w14:paraId="0CB8E21E" w14:textId="77777777" w:rsidR="00F406AA" w:rsidRDefault="00F406AA" w:rsidP="00F406AA">
      <w:r>
        <w:t xml:space="preserve">Dosis excesivas de ácido ascórbico pueden producir diarrea o estreñimiento, náuseas, vómitos, calambres abdominales, esofagitis, obstrucción intestinal, cálculos renales, cólicos, elevación de la glucosa plasmática, irritación en el epitelio urinario por acción acidificante de la orina; grandes dosis de ácido ascórbico (&gt; 3 g/día en niños y &gt; 15 g/día en los adultos ) pueden provocar hemólisis oxidativa y coagulación intravascular diseminada en pacientes con déficit de glucosa-6-fosfato deshidrogenasa. </w:t>
      </w:r>
    </w:p>
    <w:p w14:paraId="2BC75D76" w14:textId="77777777" w:rsidR="00F406AA" w:rsidRDefault="00F406AA" w:rsidP="00F406AA">
      <w:r>
        <w:t xml:space="preserve">Si aparecen estos síntomas, se debe dejar de tomar el medicamento y se debe consultar a un profesional sanitario. </w:t>
      </w:r>
    </w:p>
    <w:p w14:paraId="1A593310" w14:textId="77777777" w:rsidR="00F406AA" w:rsidRDefault="00F406AA" w:rsidP="00F406AA">
      <w:r>
        <w:lastRenderedPageBreak/>
        <w:t xml:space="preserve">La sobredosificación crónica, puede desencadenar ataque agudo de gota, hemocromatosis y escorbuto de rebote. Manifestaciones clínicas específicas pueden incluir los siguientes efectos adversos: </w:t>
      </w:r>
    </w:p>
    <w:p w14:paraId="6B08B351" w14:textId="77777777" w:rsidR="00F406AA" w:rsidRDefault="00F406AA" w:rsidP="00F406AA">
      <w:r>
        <w:t xml:space="preserve">Se ha demostrado que niveles elevados de concentración de oxalato conducen a depósitos de oxalato cálcico en pacientes con diálisis. Adicionalmente, existen varios informes que muestran que grandes dosis de vitamina C (&gt; 2 g/día), tanto en vía oral como intravenosa, pueden provocar </w:t>
      </w:r>
      <w:proofErr w:type="spellStart"/>
      <w:r>
        <w:t>hiperoxaluria</w:t>
      </w:r>
      <w:proofErr w:type="spellEnd"/>
      <w:r>
        <w:t xml:space="preserve">, </w:t>
      </w:r>
      <w:proofErr w:type="spellStart"/>
      <w:r>
        <w:t>cristaluria</w:t>
      </w:r>
      <w:proofErr w:type="spellEnd"/>
      <w:r>
        <w:t xml:space="preserve"> de oxalato de calcio, depósitos de oxalato de calcio, formación de piedras en el riñón, en pacientes que tienen predisposición a una agregación de cristales incrementada, nefropatía tubulointersticial, e insuficiencia renal aguda como resultado de los cristales de oxalato cálcico. </w:t>
      </w:r>
    </w:p>
    <w:p w14:paraId="47D427B5" w14:textId="77777777" w:rsidR="00F406AA" w:rsidRDefault="00F406AA" w:rsidP="00F406AA">
      <w:r>
        <w:t xml:space="preserve">Las personas con insuficiencia renal de leve a moderada pueden ser susceptibles a estos efectos de la toxicidad del ácido ascórbico en dosis más bajas y el médico debe evaluar la relación beneficio/riesgo antes de utilizar este medicamento. </w:t>
      </w:r>
    </w:p>
    <w:p w14:paraId="31041934" w14:textId="77777777" w:rsidR="00F406AA" w:rsidRDefault="00F406AA" w:rsidP="00F406AA">
      <w:r>
        <w:t xml:space="preserve">Si se sospecha una sobredosis con el producto, la ingesta debe ser detenida inmediatamente y se debe consultar a un profesional sanitario para iniciar el tratamiento de las manifestaciones clínicas. </w:t>
      </w:r>
    </w:p>
    <w:p w14:paraId="0547C08D" w14:textId="77777777" w:rsidR="00F406AA" w:rsidRDefault="00F406AA" w:rsidP="00F406AA">
      <w:r>
        <w:t xml:space="preserve">Tratamiento: Si se sospecha una sobredosis del producto se debe suspender el tratamiento del producto e iniciar el tratamiento de las manifestaciones clínicas. </w:t>
      </w:r>
    </w:p>
    <w:p w14:paraId="2CB2A0D7" w14:textId="77777777" w:rsidR="00F406AA" w:rsidRDefault="00F406AA" w:rsidP="00F406AA">
      <w:r>
        <w:t>El tratamiento será sintomático. El ácido ascórbico se elimina por hemodiálisis.</w:t>
      </w:r>
    </w:p>
    <w:p w14:paraId="5BD113BF" w14:textId="77777777" w:rsidR="00F406AA" w:rsidRDefault="00F406AA" w:rsidP="00F406AA">
      <w:r>
        <w:t>En caso de sobredosis o ingesta accidental, consultar al Servicio de Toxicología del Hospital de EMERGENCIAS MEDICAS Tel.: 220-418 o el 204-800 (</w:t>
      </w:r>
      <w:proofErr w:type="spellStart"/>
      <w:r>
        <w:t>int</w:t>
      </w:r>
      <w:proofErr w:type="spellEnd"/>
      <w:r>
        <w:t>. 011).</w:t>
      </w:r>
    </w:p>
    <w:p w14:paraId="7EEF76B3" w14:textId="77777777" w:rsidR="00F406AA" w:rsidRDefault="00F406AA" w:rsidP="00F406AA"/>
    <w:p w14:paraId="43A9BBF2" w14:textId="77777777" w:rsidR="00F406AA" w:rsidRDefault="00F406AA" w:rsidP="00F406AA">
      <w:r>
        <w:t xml:space="preserve">CONSERVACIÓN: </w:t>
      </w:r>
    </w:p>
    <w:p w14:paraId="619C03C3" w14:textId="77777777" w:rsidR="00F406AA" w:rsidRDefault="00F406AA" w:rsidP="00F406AA">
      <w:r>
        <w:t>Almacenar a temperatura entre 15º y 30ºC.</w:t>
      </w:r>
    </w:p>
    <w:p w14:paraId="3949294E" w14:textId="77777777" w:rsidR="00F406AA" w:rsidRDefault="00F406AA" w:rsidP="00F406AA"/>
    <w:p w14:paraId="46C26A88" w14:textId="77777777" w:rsidR="00F406AA" w:rsidRDefault="00F406AA" w:rsidP="00F406AA">
      <w:r>
        <w:t>PRESENTACIÓN:</w:t>
      </w:r>
    </w:p>
    <w:p w14:paraId="2B7DAB0A" w14:textId="77777777" w:rsidR="00F406AA" w:rsidRDefault="00F406AA" w:rsidP="00F406AA">
      <w:r>
        <w:t>* Caja conteniendo 10 sobres.</w:t>
      </w:r>
    </w:p>
    <w:p w14:paraId="0F176AFD" w14:textId="768DB84B" w:rsidR="00F406AA" w:rsidRDefault="00F406AA" w:rsidP="00F406AA">
      <w:r>
        <w:t xml:space="preserve">* Caja conteniendo 30 sobres. </w:t>
      </w:r>
    </w:p>
    <w:p w14:paraId="35E3F9E0" w14:textId="05F5DE1F" w:rsidR="00F406AA" w:rsidRDefault="00F406AA" w:rsidP="00F406AA"/>
    <w:p w14:paraId="4456F346" w14:textId="77777777" w:rsidR="00F406AA" w:rsidRDefault="00F406AA" w:rsidP="00F406AA"/>
    <w:tbl>
      <w:tblPr>
        <w:tblStyle w:val="TableGrid"/>
        <w:tblW w:w="6827" w:type="dxa"/>
        <w:tblInd w:w="1099" w:type="dxa"/>
        <w:tblCellMar>
          <w:top w:w="46" w:type="dxa"/>
          <w:left w:w="7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48"/>
        <w:gridCol w:w="2060"/>
        <w:gridCol w:w="2519"/>
      </w:tblGrid>
      <w:tr w:rsidR="00F406AA" w14:paraId="1481E44D" w14:textId="77777777" w:rsidTr="00A75F77">
        <w:trPr>
          <w:trHeight w:val="361"/>
        </w:trPr>
        <w:tc>
          <w:tcPr>
            <w:tcW w:w="4307" w:type="dxa"/>
            <w:gridSpan w:val="2"/>
            <w:tcBorders>
              <w:top w:val="single" w:sz="5" w:space="0" w:color="373334"/>
              <w:left w:val="single" w:sz="5" w:space="0" w:color="373334"/>
              <w:bottom w:val="single" w:sz="5" w:space="0" w:color="373334"/>
              <w:right w:val="nil"/>
            </w:tcBorders>
          </w:tcPr>
          <w:p w14:paraId="2C16E9F2" w14:textId="77777777" w:rsidR="00F406AA" w:rsidRDefault="00F406AA" w:rsidP="00A75F77">
            <w:r>
              <w:rPr>
                <w:rFonts w:ascii="Arial MT" w:eastAsia="Arial MT" w:hAnsi="Arial MT" w:cs="Arial MT"/>
                <w:b/>
                <w:color w:val="373334"/>
                <w:sz w:val="16"/>
              </w:rPr>
              <w:t xml:space="preserve">INFORMACION NUTRICIONAL </w:t>
            </w:r>
          </w:p>
          <w:p w14:paraId="0619BE09" w14:textId="77777777" w:rsidR="00F406AA" w:rsidRDefault="00F406AA" w:rsidP="00A75F77">
            <w:r>
              <w:rPr>
                <w:rFonts w:ascii="Arial MT" w:eastAsia="Arial MT" w:hAnsi="Arial MT" w:cs="Arial MT"/>
                <w:b/>
                <w:color w:val="373334"/>
                <w:sz w:val="16"/>
              </w:rPr>
              <w:t>Porción: 7,5 de polvo para solución oral</w:t>
            </w:r>
          </w:p>
        </w:tc>
        <w:tc>
          <w:tcPr>
            <w:tcW w:w="2519" w:type="dxa"/>
            <w:tcBorders>
              <w:top w:val="single" w:sz="5" w:space="0" w:color="373334"/>
              <w:left w:val="nil"/>
              <w:bottom w:val="single" w:sz="5" w:space="0" w:color="373334"/>
              <w:right w:val="single" w:sz="5" w:space="0" w:color="373334"/>
            </w:tcBorders>
          </w:tcPr>
          <w:p w14:paraId="249C1FEF" w14:textId="77777777" w:rsidR="00F406AA" w:rsidRDefault="00F406AA" w:rsidP="00A75F77"/>
        </w:tc>
      </w:tr>
      <w:tr w:rsidR="00F406AA" w14:paraId="62BD935C" w14:textId="77777777" w:rsidTr="00A75F77">
        <w:trPr>
          <w:trHeight w:val="293"/>
        </w:trPr>
        <w:tc>
          <w:tcPr>
            <w:tcW w:w="2247" w:type="dxa"/>
            <w:tcBorders>
              <w:top w:val="single" w:sz="5" w:space="0" w:color="373334"/>
              <w:left w:val="single" w:sz="5" w:space="0" w:color="373334"/>
              <w:bottom w:val="single" w:sz="5" w:space="0" w:color="373334"/>
              <w:right w:val="single" w:sz="5" w:space="0" w:color="373334"/>
            </w:tcBorders>
          </w:tcPr>
          <w:p w14:paraId="56201498" w14:textId="77777777" w:rsidR="00F406AA" w:rsidRDefault="00F406AA" w:rsidP="00A75F77">
            <w:r>
              <w:rPr>
                <w:rFonts w:ascii="Arial MT" w:eastAsia="Arial MT" w:hAnsi="Arial MT" w:cs="Arial MT"/>
                <w:b/>
                <w:color w:val="373334"/>
                <w:sz w:val="16"/>
              </w:rPr>
              <w:t>Valor energético</w:t>
            </w:r>
          </w:p>
        </w:tc>
        <w:tc>
          <w:tcPr>
            <w:tcW w:w="2060" w:type="dxa"/>
            <w:tcBorders>
              <w:top w:val="single" w:sz="5" w:space="0" w:color="373334"/>
              <w:left w:val="single" w:sz="5" w:space="0" w:color="373334"/>
              <w:bottom w:val="single" w:sz="5" w:space="0" w:color="373334"/>
              <w:right w:val="single" w:sz="5" w:space="0" w:color="373334"/>
            </w:tcBorders>
          </w:tcPr>
          <w:p w14:paraId="27C2F505" w14:textId="77777777" w:rsidR="00F406AA" w:rsidRDefault="00F406AA" w:rsidP="00A75F77">
            <w:r>
              <w:rPr>
                <w:rFonts w:ascii="Arial MT" w:eastAsia="Arial MT" w:hAnsi="Arial MT" w:cs="Arial MT"/>
                <w:b/>
                <w:color w:val="373334"/>
                <w:sz w:val="16"/>
              </w:rPr>
              <w:t>Cada 100 g</w:t>
            </w:r>
          </w:p>
        </w:tc>
        <w:tc>
          <w:tcPr>
            <w:tcW w:w="2519" w:type="dxa"/>
            <w:tcBorders>
              <w:top w:val="single" w:sz="5" w:space="0" w:color="373334"/>
              <w:left w:val="single" w:sz="5" w:space="0" w:color="373334"/>
              <w:bottom w:val="single" w:sz="5" w:space="0" w:color="373334"/>
              <w:right w:val="single" w:sz="5" w:space="0" w:color="373334"/>
            </w:tcBorders>
          </w:tcPr>
          <w:p w14:paraId="7D3E8692" w14:textId="77777777" w:rsidR="00F406AA" w:rsidRDefault="00F406AA" w:rsidP="00A75F77">
            <w:r>
              <w:rPr>
                <w:rFonts w:ascii="Arial MT" w:eastAsia="Arial MT" w:hAnsi="Arial MT" w:cs="Arial MT"/>
                <w:b/>
                <w:color w:val="373334"/>
                <w:sz w:val="16"/>
              </w:rPr>
              <w:t>Cantidad por porción (7,5g)</w:t>
            </w:r>
          </w:p>
        </w:tc>
      </w:tr>
      <w:tr w:rsidR="00F406AA" w14:paraId="4B9F1804" w14:textId="77777777" w:rsidTr="00A75F77">
        <w:trPr>
          <w:trHeight w:val="259"/>
        </w:trPr>
        <w:tc>
          <w:tcPr>
            <w:tcW w:w="2247" w:type="dxa"/>
            <w:tcBorders>
              <w:top w:val="single" w:sz="5" w:space="0" w:color="373334"/>
              <w:left w:val="single" w:sz="5" w:space="0" w:color="373334"/>
              <w:bottom w:val="single" w:sz="5" w:space="0" w:color="373334"/>
              <w:right w:val="single" w:sz="5" w:space="0" w:color="373334"/>
            </w:tcBorders>
          </w:tcPr>
          <w:p w14:paraId="1DCB283C" w14:textId="77777777" w:rsidR="00F406AA" w:rsidRDefault="00F406AA" w:rsidP="00A75F77">
            <w:r>
              <w:rPr>
                <w:rFonts w:ascii="Arial MT" w:eastAsia="Arial MT" w:hAnsi="Arial MT" w:cs="Arial MT"/>
                <w:color w:val="373334"/>
                <w:sz w:val="16"/>
              </w:rPr>
              <w:t>VITAMINA C</w:t>
            </w:r>
          </w:p>
        </w:tc>
        <w:tc>
          <w:tcPr>
            <w:tcW w:w="2060" w:type="dxa"/>
            <w:tcBorders>
              <w:top w:val="single" w:sz="5" w:space="0" w:color="373334"/>
              <w:left w:val="single" w:sz="5" w:space="0" w:color="373334"/>
              <w:bottom w:val="single" w:sz="5" w:space="0" w:color="373334"/>
              <w:right w:val="single" w:sz="5" w:space="0" w:color="373334"/>
            </w:tcBorders>
          </w:tcPr>
          <w:p w14:paraId="15D34A49" w14:textId="77777777" w:rsidR="00F406AA" w:rsidRDefault="00F406AA" w:rsidP="00A75F77">
            <w:r>
              <w:rPr>
                <w:rFonts w:ascii="Arial MT" w:eastAsia="Arial MT" w:hAnsi="Arial MT" w:cs="Arial MT"/>
                <w:color w:val="373334"/>
                <w:sz w:val="16"/>
              </w:rPr>
              <w:t>13333 mg</w:t>
            </w:r>
          </w:p>
        </w:tc>
        <w:tc>
          <w:tcPr>
            <w:tcW w:w="2519" w:type="dxa"/>
            <w:tcBorders>
              <w:top w:val="single" w:sz="5" w:space="0" w:color="373334"/>
              <w:left w:val="single" w:sz="5" w:space="0" w:color="373334"/>
              <w:bottom w:val="single" w:sz="5" w:space="0" w:color="373334"/>
              <w:right w:val="single" w:sz="5" w:space="0" w:color="373334"/>
            </w:tcBorders>
          </w:tcPr>
          <w:p w14:paraId="65D586BE" w14:textId="77777777" w:rsidR="00F406AA" w:rsidRDefault="00F406AA" w:rsidP="00A75F77">
            <w:r>
              <w:rPr>
                <w:rFonts w:ascii="Arial MT" w:eastAsia="Arial MT" w:hAnsi="Arial MT" w:cs="Arial MT"/>
                <w:color w:val="373334"/>
                <w:sz w:val="16"/>
              </w:rPr>
              <w:t>1000mg</w:t>
            </w:r>
          </w:p>
        </w:tc>
      </w:tr>
    </w:tbl>
    <w:p w14:paraId="38CD03C8" w14:textId="77777777" w:rsidR="00F406AA" w:rsidRDefault="00F406AA" w:rsidP="00F406AA"/>
    <w:p w14:paraId="107022E9" w14:textId="77777777" w:rsidR="00F406AA" w:rsidRDefault="00F406AA" w:rsidP="00F406AA"/>
    <w:p w14:paraId="38F8048F" w14:textId="77777777" w:rsidR="00F406AA" w:rsidRDefault="00F406AA" w:rsidP="00F406AA"/>
    <w:p w14:paraId="1DD3B978" w14:textId="77777777" w:rsidR="00F406AA" w:rsidRDefault="00F406AA" w:rsidP="00F406AA"/>
    <w:p w14:paraId="5E7EEA10" w14:textId="77777777" w:rsidR="00F406AA" w:rsidRDefault="00F406AA" w:rsidP="00F406AA"/>
    <w:p w14:paraId="45E64DDD" w14:textId="77777777" w:rsidR="00F406AA" w:rsidRDefault="00F406AA" w:rsidP="00F406AA"/>
    <w:p w14:paraId="2F460043" w14:textId="77777777" w:rsidR="00F406AA" w:rsidRDefault="00F406AA" w:rsidP="00F406AA"/>
    <w:p w14:paraId="2B84D02D" w14:textId="77777777" w:rsidR="00F406AA" w:rsidRDefault="00F406AA" w:rsidP="00F406AA"/>
    <w:p w14:paraId="21330CEA" w14:textId="77777777" w:rsidR="00F406AA" w:rsidRDefault="00F406AA" w:rsidP="00F406AA">
      <w:r>
        <w:t xml:space="preserve">Otros ingredientes: Colágeno Hidrolizado, </w:t>
      </w:r>
      <w:proofErr w:type="spellStart"/>
      <w:r>
        <w:t>Acido</w:t>
      </w:r>
      <w:proofErr w:type="spellEnd"/>
      <w:r>
        <w:t xml:space="preserve"> Cítrico Anhidro, Citrato de Sodio </w:t>
      </w:r>
      <w:proofErr w:type="spellStart"/>
      <w:r>
        <w:t>Dihidrato</w:t>
      </w:r>
      <w:proofErr w:type="spellEnd"/>
      <w:r>
        <w:t>, Manitol, Bicarbonato de Sodio, Sucralosa, Sabor Naranja 9/A0834, Colorante FD&amp;C Nº6 Amarillo.</w:t>
      </w:r>
    </w:p>
    <w:p w14:paraId="3E833A2F" w14:textId="77777777" w:rsidR="00F406AA" w:rsidRDefault="00F406AA" w:rsidP="00F406AA"/>
    <w:p w14:paraId="4B5BFA5C" w14:textId="77777777" w:rsidR="00F406AA" w:rsidRDefault="00F406AA" w:rsidP="00F406AA">
      <w:r>
        <w:t>Director Técnico: Q.F. Laura Ramírez</w:t>
      </w:r>
    </w:p>
    <w:p w14:paraId="22A07ABC" w14:textId="77777777" w:rsidR="00F406AA" w:rsidRDefault="00F406AA" w:rsidP="00F406AA">
      <w:r>
        <w:t xml:space="preserve">Reg. Prof. </w:t>
      </w:r>
      <w:proofErr w:type="spellStart"/>
      <w:r>
        <w:t>Nº</w:t>
      </w:r>
      <w:proofErr w:type="spellEnd"/>
      <w:r>
        <w:t xml:space="preserve"> 4.142</w:t>
      </w:r>
    </w:p>
    <w:p w14:paraId="01913393" w14:textId="77777777" w:rsidR="00F406AA" w:rsidRDefault="00F406AA" w:rsidP="00F406AA">
      <w:r>
        <w:t>Autorizado por D.N.V.S. del M.S.P. y B.S.</w:t>
      </w:r>
    </w:p>
    <w:p w14:paraId="3A744780" w14:textId="77777777" w:rsidR="00F406AA" w:rsidRDefault="00F406AA" w:rsidP="00F406AA"/>
    <w:p w14:paraId="19E7BCB7" w14:textId="77777777" w:rsidR="00F406AA" w:rsidRDefault="00F406AA" w:rsidP="00F406AA"/>
    <w:p w14:paraId="35BF415A" w14:textId="6A3F74CC" w:rsidR="001562FC" w:rsidRPr="00F406AA" w:rsidRDefault="00F406AA" w:rsidP="00F406AA">
      <w:r>
        <w:t>MANTENER FUERA DEL ALCANCE DE LOS NIÑOS</w:t>
      </w:r>
    </w:p>
    <w:sectPr w:rsidR="001562FC" w:rsidRPr="00F406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AA"/>
    <w:rsid w:val="001562FC"/>
    <w:rsid w:val="00B61E7F"/>
    <w:rsid w:val="00F4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D6A87"/>
  <w15:chartTrackingRefBased/>
  <w15:docId w15:val="{959DB8D6-BEF9-4C1E-B240-A810AB6B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F406AA"/>
    <w:pPr>
      <w:spacing w:after="0" w:line="240" w:lineRule="auto"/>
    </w:pPr>
    <w:rPr>
      <w:rFonts w:eastAsiaTheme="minorEastAsia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1480</Words>
  <Characters>8146</Characters>
  <Application>Microsoft Office Word</Application>
  <DocSecurity>0</DocSecurity>
  <Lines>67</Lines>
  <Paragraphs>19</Paragraphs>
  <ScaleCrop>false</ScaleCrop>
  <Company/>
  <LinksUpToDate>false</LinksUpToDate>
  <CharactersWithSpaces>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Rolon</dc:creator>
  <cp:keywords/>
  <dc:description/>
  <cp:lastModifiedBy>Danilo Rolon</cp:lastModifiedBy>
  <cp:revision>1</cp:revision>
  <dcterms:created xsi:type="dcterms:W3CDTF">2020-10-27T18:48:00Z</dcterms:created>
  <dcterms:modified xsi:type="dcterms:W3CDTF">2020-10-27T18:54:00Z</dcterms:modified>
</cp:coreProperties>
</file>