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7F" w:rsidRDefault="00FF277F" w:rsidP="00FF277F">
      <w:pPr>
        <w:pStyle w:val="NormalWeb"/>
      </w:pPr>
      <w:r>
        <w:t xml:space="preserve">PRAMIL® </w:t>
      </w:r>
    </w:p>
    <w:p w:rsidR="00FF277F" w:rsidRDefault="00FF277F" w:rsidP="00FF277F">
      <w:pPr>
        <w:pStyle w:val="NormalWeb"/>
      </w:pPr>
      <w:r>
        <w:t>SILDENAFIL</w:t>
      </w:r>
    </w:p>
    <w:p w:rsidR="00FF277F" w:rsidRDefault="00FF277F" w:rsidP="00FF277F">
      <w:pPr>
        <w:pStyle w:val="NormalWeb"/>
      </w:pPr>
      <w:r>
        <w:t xml:space="preserve">Venta Bajo Receta Comprimidos Recubiertos/Comprimidos Masticables </w:t>
      </w:r>
    </w:p>
    <w:p w:rsidR="00FF277F" w:rsidRDefault="00FF277F" w:rsidP="00FF277F">
      <w:pPr>
        <w:pStyle w:val="NormalWeb"/>
      </w:pPr>
      <w:r>
        <w:t>Industria Paraguaya V.A.: Oral</w:t>
      </w:r>
    </w:p>
    <w:p w:rsidR="00FF277F" w:rsidRDefault="00FF277F" w:rsidP="00FF277F">
      <w:pPr>
        <w:pStyle w:val="NormalWeb"/>
      </w:pPr>
      <w:r>
        <w:t>PRAMIL® 25</w:t>
      </w:r>
    </w:p>
    <w:p w:rsidR="00FF277F" w:rsidRDefault="00FF277F" w:rsidP="00FF277F">
      <w:pPr>
        <w:pStyle w:val="NormalWeb"/>
      </w:pPr>
      <w:r>
        <w:t>SILDENAFIL 25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 xml:space="preserve">PRAMIL® </w:t>
      </w:r>
    </w:p>
    <w:p w:rsidR="00FF277F" w:rsidRDefault="00FF277F" w:rsidP="00FF277F">
      <w:pPr>
        <w:pStyle w:val="NormalWeb"/>
      </w:pPr>
      <w:r>
        <w:t>SILDENAFIL 50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PRAMIL® 75</w:t>
      </w:r>
    </w:p>
    <w:p w:rsidR="00FF277F" w:rsidRDefault="00FF277F" w:rsidP="00FF277F">
      <w:pPr>
        <w:pStyle w:val="NormalWeb"/>
      </w:pPr>
      <w:r>
        <w:t>SILDENAFIL 75 mg</w:t>
      </w:r>
    </w:p>
    <w:p w:rsidR="00FF277F" w:rsidRDefault="00FF277F" w:rsidP="00FF277F">
      <w:pPr>
        <w:pStyle w:val="NormalWeb"/>
      </w:pPr>
      <w:r>
        <w:t>FORMULAS:</w:t>
      </w:r>
    </w:p>
    <w:p w:rsidR="00FF277F" w:rsidRDefault="00FF277F" w:rsidP="00FF277F">
      <w:pPr>
        <w:pStyle w:val="NormalWeb"/>
      </w:pPr>
      <w:r>
        <w:lastRenderedPageBreak/>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PRAMIL® FORTE</w:t>
      </w:r>
    </w:p>
    <w:p w:rsidR="00FF277F" w:rsidRDefault="00FF277F" w:rsidP="00FF277F">
      <w:pPr>
        <w:pStyle w:val="NormalWeb"/>
      </w:pPr>
      <w:r>
        <w:t>SILDENAFIL 100 mg</w:t>
      </w:r>
    </w:p>
    <w:p w:rsidR="00FF277F" w:rsidRDefault="00FF277F" w:rsidP="00FF277F">
      <w:pPr>
        <w:pStyle w:val="NormalWeb"/>
      </w:pPr>
      <w:r>
        <w:t>FORMULA:</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Citrato)................................................100 mg.</w:t>
      </w:r>
    </w:p>
    <w:p w:rsidR="00FF277F" w:rsidRDefault="00FF277F" w:rsidP="00FF277F">
      <w:pPr>
        <w:pStyle w:val="NormalWeb"/>
      </w:pPr>
      <w:r>
        <w:t>Excipientes......................................................................................................c.s.p.</w:t>
      </w:r>
    </w:p>
    <w:p w:rsidR="00FF277F" w:rsidRDefault="00FF277F" w:rsidP="00FF277F">
      <w:pPr>
        <w:pStyle w:val="NormalWeb"/>
      </w:pPr>
      <w:r>
        <w:t>ACCION TERAPEUTICA:</w:t>
      </w:r>
    </w:p>
    <w:p w:rsidR="00FF277F" w:rsidRDefault="00FF277F" w:rsidP="00FF277F">
      <w:pPr>
        <w:pStyle w:val="NormalWeb"/>
      </w:pPr>
      <w:r>
        <w:t xml:space="preserve">Inhibidor reversible y selectivo de la </w:t>
      </w:r>
      <w:proofErr w:type="spellStart"/>
      <w:r>
        <w:t>fosfodiesterasa</w:t>
      </w:r>
      <w:proofErr w:type="spellEnd"/>
      <w:r>
        <w:t xml:space="preserve"> tipo 5 (PDE5) para el tratamiento sintomático de la disfunción eréctil.</w:t>
      </w:r>
    </w:p>
    <w:p w:rsidR="00FF277F" w:rsidRDefault="00FF277F" w:rsidP="00FF277F">
      <w:pPr>
        <w:pStyle w:val="NormalWeb"/>
      </w:pPr>
      <w:r>
        <w:t>MECANISMO DE ACCION Y DATOS FARMACOCINETICOS:</w:t>
      </w:r>
    </w:p>
    <w:p w:rsidR="00FF277F" w:rsidRDefault="00FF277F" w:rsidP="00FF277F">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w:t>
      </w:r>
      <w:proofErr w:type="spellStart"/>
      <w:r>
        <w:t>fosfodiesterasa</w:t>
      </w:r>
      <w:proofErr w:type="spellEnd"/>
      <w:r>
        <w:t xml:space="preserve">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w:t>
      </w:r>
      <w:proofErr w:type="spellStart"/>
      <w:r>
        <w:t>aflujo</w:t>
      </w:r>
      <w:proofErr w:type="spellEnd"/>
      <w:r>
        <w:t xml:space="preserve">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w:t>
      </w:r>
      <w:proofErr w:type="spellStart"/>
      <w:r>
        <w:t>fosfodiesterasa</w:t>
      </w:r>
      <w:proofErr w:type="spellEnd"/>
      <w:r>
        <w:t xml:space="preserve">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horas pero con una respuesta disminuida en relación a las 2 horas.</w:t>
      </w:r>
    </w:p>
    <w:p w:rsidR="00FF277F" w:rsidRDefault="00FF277F" w:rsidP="00FF277F">
      <w:pPr>
        <w:pStyle w:val="NormalWeb"/>
      </w:pPr>
      <w:r>
        <w:t xml:space="preserve">El </w:t>
      </w:r>
      <w:proofErr w:type="spellStart"/>
      <w:r>
        <w:t>Sildenafil</w:t>
      </w:r>
      <w:proofErr w:type="spellEnd"/>
      <w:r>
        <w:t xml:space="preserve"> actúa produciendo:</w:t>
      </w:r>
    </w:p>
    <w:p w:rsidR="00FF277F" w:rsidRDefault="00FF277F" w:rsidP="00FF277F">
      <w:pPr>
        <w:pStyle w:val="NormalWeb"/>
      </w:pPr>
      <w:r>
        <w:t>1.- Una erección suficiente para el acto sexual y</w:t>
      </w:r>
    </w:p>
    <w:p w:rsidR="00FF277F" w:rsidRDefault="00FF277F" w:rsidP="00FF277F">
      <w:pPr>
        <w:pStyle w:val="NormalWeb"/>
      </w:pPr>
      <w:r>
        <w:lastRenderedPageBreak/>
        <w:t>2.- Mantiene la erección después de la penetración.</w:t>
      </w:r>
    </w:p>
    <w:p w:rsidR="00FF277F" w:rsidRDefault="00FF277F" w:rsidP="00FF277F">
      <w:pPr>
        <w:pStyle w:val="NormalWeb"/>
      </w:pPr>
      <w:r>
        <w:t xml:space="preserve">3.- El </w:t>
      </w:r>
      <w:proofErr w:type="spellStart"/>
      <w:r>
        <w:t>Sildenafil</w:t>
      </w:r>
      <w:proofErr w:type="spellEnd"/>
      <w:r>
        <w:t xml:space="preserve"> logra la erección, independiente de la edad del paciente.</w:t>
      </w:r>
    </w:p>
    <w:p w:rsidR="00FF277F" w:rsidRDefault="00FF277F" w:rsidP="00FF277F">
      <w:pPr>
        <w:pStyle w:val="NormalWeb"/>
      </w:pPr>
      <w:r>
        <w:t>INDICACIONES TERAPEUTICAS:</w:t>
      </w:r>
    </w:p>
    <w:p w:rsidR="00FF277F" w:rsidRDefault="00FF277F" w:rsidP="00FF277F">
      <w:pPr>
        <w:pStyle w:val="NormalWeb"/>
      </w:pPr>
      <w:r>
        <w:t xml:space="preserve">El </w:t>
      </w:r>
      <w:proofErr w:type="spellStart"/>
      <w:r>
        <w:t>Sildenafil</w:t>
      </w:r>
      <w:proofErr w:type="spellEnd"/>
      <w:r>
        <w:t xml:space="preserve"> está indicado en pacientes con disfunción de la erección.</w:t>
      </w:r>
    </w:p>
    <w:p w:rsidR="00FF277F" w:rsidRDefault="00FF277F" w:rsidP="00FF277F">
      <w:pPr>
        <w:pStyle w:val="NormalWeb"/>
      </w:pPr>
      <w:r>
        <w:t>POSOLOGIA:</w:t>
      </w:r>
    </w:p>
    <w:p w:rsidR="00FF277F" w:rsidRDefault="00FF277F" w:rsidP="00FF277F">
      <w:pPr>
        <w:pStyle w:val="NormalWeb"/>
      </w:pPr>
      <w:r>
        <w:t>Comprimidos: Son para administración vía oral.</w:t>
      </w:r>
    </w:p>
    <w:p w:rsidR="00FF277F" w:rsidRDefault="00FF277F" w:rsidP="00FF277F">
      <w:pPr>
        <w:pStyle w:val="NormalWeb"/>
      </w:pPr>
      <w:r>
        <w:t>Uso en adultos: Para la mayoría de los pacientes la dosis recomendada es de 50 mg, tomadas según necesidad, aproximadamente 1 hora antes del acto sexual.</w:t>
      </w:r>
    </w:p>
    <w:p w:rsidR="00FF277F" w:rsidRDefault="00FF277F" w:rsidP="00FF277F">
      <w:pPr>
        <w:pStyle w:val="NormalWeb"/>
      </w:pPr>
      <w:r>
        <w:t>Con base en la eficacia y tolerancia, la dosis máxima recomendada es de 100 mg, que puede disminuirse a 25 mg.</w:t>
      </w:r>
    </w:p>
    <w:p w:rsidR="00FF277F" w:rsidRDefault="00FF277F" w:rsidP="00FF277F">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FF277F" w:rsidRDefault="00FF277F" w:rsidP="00FF277F">
      <w:pPr>
        <w:pStyle w:val="NormalWeb"/>
      </w:pPr>
      <w:r>
        <w:t>La frecuencia máxima recomendada es de una vez al día.</w:t>
      </w:r>
    </w:p>
    <w:p w:rsidR="00FF277F" w:rsidRDefault="00FF277F" w:rsidP="00FF277F">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w:t>
      </w:r>
      <w:proofErr w:type="spellStart"/>
      <w:r>
        <w:t>Eritromicina</w:t>
      </w:r>
      <w:proofErr w:type="spellEnd"/>
      <w:r>
        <w:t xml:space="preserve">, </w:t>
      </w:r>
      <w:proofErr w:type="spellStart"/>
      <w:r>
        <w:t>Ketoconazol</w:t>
      </w:r>
      <w:proofErr w:type="spellEnd"/>
      <w:r>
        <w:t xml:space="preserve">, </w:t>
      </w:r>
      <w:proofErr w:type="spellStart"/>
      <w:r>
        <w:t>Itraconazol</w:t>
      </w:r>
      <w:proofErr w:type="spellEnd"/>
      <w:r>
        <w:t>, 200 %).</w:t>
      </w:r>
    </w:p>
    <w:p w:rsidR="00FF277F" w:rsidRDefault="00FF277F" w:rsidP="00FF277F">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FF277F" w:rsidRDefault="00FF277F" w:rsidP="00FF277F">
      <w:pPr>
        <w:pStyle w:val="NormalWeb"/>
      </w:pPr>
      <w:r>
        <w:t>CONTRAINDICACIONES:</w:t>
      </w:r>
    </w:p>
    <w:p w:rsidR="00FF277F" w:rsidRDefault="00FF277F" w:rsidP="00FF277F">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rsidR="00FF277F" w:rsidRDefault="00FF277F" w:rsidP="00FF277F">
      <w:pPr>
        <w:pStyle w:val="NormalWeb"/>
      </w:pPr>
      <w:r>
        <w:t>PRECAUCIONES Y ADVERTENCIAS:</w:t>
      </w:r>
    </w:p>
    <w:p w:rsidR="00FF277F" w:rsidRDefault="00FF277F" w:rsidP="00FF277F">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FF277F" w:rsidRDefault="00FF277F" w:rsidP="00FF277F">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xml:space="preserve">), o en pacientes con afecciones que puedan predisponerlos al priapismo (anemia </w:t>
      </w:r>
      <w:proofErr w:type="spellStart"/>
      <w:r>
        <w:t>drepanocítica</w:t>
      </w:r>
      <w:proofErr w:type="spellEnd"/>
      <w:r>
        <w:t>, mieloma múltiple o leucemia).</w:t>
      </w:r>
    </w:p>
    <w:p w:rsidR="00FF277F" w:rsidRDefault="00FF277F" w:rsidP="00FF277F">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rsidR="00FF277F" w:rsidRDefault="00FF277F" w:rsidP="00FF277F">
      <w:pPr>
        <w:pStyle w:val="NormalWeb"/>
      </w:pPr>
      <w:r>
        <w:t xml:space="preserve">Los estudios in vitro realizados con plaquetas humanas indican que el </w:t>
      </w:r>
      <w:proofErr w:type="spellStart"/>
      <w:r>
        <w:t>Sildenafil</w:t>
      </w:r>
      <w:proofErr w:type="spellEnd"/>
      <w:r>
        <w:t xml:space="preserve"> potencia el efecto </w:t>
      </w:r>
      <w:proofErr w:type="spellStart"/>
      <w:r>
        <w:t>antiagregante</w:t>
      </w:r>
      <w:proofErr w:type="spellEnd"/>
      <w:r>
        <w:t xml:space="preserve"> del </w:t>
      </w:r>
      <w:proofErr w:type="spellStart"/>
      <w:r>
        <w:t>Nitroprusiato</w:t>
      </w:r>
      <w:proofErr w:type="spellEnd"/>
      <w:r>
        <w:t xml:space="preserve">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w:t>
      </w:r>
      <w:proofErr w:type="spellStart"/>
      <w:r>
        <w:t>fosfodiesterasas</w:t>
      </w:r>
      <w:proofErr w:type="spellEnd"/>
      <w:r>
        <w:t xml:space="preserve">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rsidR="00FF277F" w:rsidRDefault="00FF277F" w:rsidP="00FF277F">
      <w:pPr>
        <w:pStyle w:val="NormalWeb"/>
      </w:pPr>
      <w:r>
        <w:t>REACCIONES ADVERSAS Y EFECTOS SECUNDARIOS:</w:t>
      </w:r>
    </w:p>
    <w:p w:rsidR="00FF277F" w:rsidRDefault="00FF277F" w:rsidP="00FF277F">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rsidR="00FF277F" w:rsidRDefault="00FF277F" w:rsidP="00FF277F">
      <w:pPr>
        <w:pStyle w:val="NormalWeb"/>
      </w:pPr>
      <w:r>
        <w:t>La visión anormal es leve y transitoria, afectando principalmente la visión de los colores, pero puede producir también una sensibilidad aumentada a la luz o visión borrosa. No se han descripto casos de priapismo.</w:t>
      </w:r>
    </w:p>
    <w:p w:rsidR="00FF277F" w:rsidRDefault="00FF277F" w:rsidP="00FF277F">
      <w:pPr>
        <w:pStyle w:val="NormalWeb"/>
      </w:pPr>
      <w:r>
        <w:t>INTERACCIONES CON ALIMENTOS Y MEDICAMENTOS:</w:t>
      </w:r>
    </w:p>
    <w:p w:rsidR="00FF277F" w:rsidRDefault="00FF277F" w:rsidP="00FF277F">
      <w:pPr>
        <w:pStyle w:val="NormalWeb"/>
      </w:pPr>
      <w:r>
        <w:t xml:space="preserve">El metabolismo de </w:t>
      </w:r>
      <w:proofErr w:type="spellStart"/>
      <w:r>
        <w:t>Sildenafil</w:t>
      </w:r>
      <w:proofErr w:type="spellEnd"/>
      <w:r>
        <w:t xml:space="preserve"> es mediado principalmente por las </w:t>
      </w:r>
      <w:proofErr w:type="spellStart"/>
      <w:r>
        <w:t>isoformas</w:t>
      </w:r>
      <w:proofErr w:type="spellEnd"/>
      <w:r>
        <w:t xml:space="preserve"> 3A4 (ruta principal) y 2C9 (ruta secundaria) del citocromo P450 (CYP). Por lo tanto, los inhibidores de estas </w:t>
      </w:r>
      <w:proofErr w:type="spellStart"/>
      <w:r>
        <w:t>isoenzimas</w:t>
      </w:r>
      <w:proofErr w:type="spellEnd"/>
      <w:r>
        <w:t xml:space="preserve"> tal vez reduzcan la depuración del </w:t>
      </w:r>
      <w:proofErr w:type="spellStart"/>
      <w:r>
        <w:t>Sildenafil</w:t>
      </w:r>
      <w:proofErr w:type="spellEnd"/>
      <w:r>
        <w:t>.</w:t>
      </w:r>
    </w:p>
    <w:p w:rsidR="00FF277F" w:rsidRDefault="00FF277F" w:rsidP="00FF277F">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w:t>
      </w:r>
      <w:proofErr w:type="spellStart"/>
      <w:r>
        <w:t>Ketoconazol</w:t>
      </w:r>
      <w:proofErr w:type="spellEnd"/>
      <w:r>
        <w:t xml:space="preserve">, </w:t>
      </w:r>
      <w:proofErr w:type="spellStart"/>
      <w:r>
        <w:t>Eritromicina</w:t>
      </w:r>
      <w:proofErr w:type="spellEnd"/>
      <w:r>
        <w:t xml:space="preserve">,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w:t>
      </w:r>
      <w:proofErr w:type="spellStart"/>
      <w:r>
        <w:t>Eritromicina</w:t>
      </w:r>
      <w:proofErr w:type="spellEnd"/>
      <w:r>
        <w:t xml:space="preserve">,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w:t>
      </w:r>
      <w:proofErr w:type="spellStart"/>
      <w:r>
        <w:t>Ketoconazol</w:t>
      </w:r>
      <w:proofErr w:type="spellEnd"/>
      <w:r>
        <w:t xml:space="preserve"> e </w:t>
      </w:r>
      <w:proofErr w:type="spellStart"/>
      <w:r>
        <w:t>Itraconazol</w:t>
      </w:r>
      <w:proofErr w:type="spellEnd"/>
      <w:r>
        <w:t xml:space="preserve">.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rsidR="00FF277F" w:rsidRDefault="00FF277F" w:rsidP="00FF277F">
      <w:pPr>
        <w:pStyle w:val="NormalWeb"/>
      </w:pPr>
      <w:proofErr w:type="spellStart"/>
      <w:r>
        <w:t>Sildenafil</w:t>
      </w:r>
      <w:proofErr w:type="spellEnd"/>
      <w:r>
        <w:t xml:space="preserve"> no tuvo efectos sobre el comportamiento </w:t>
      </w:r>
      <w:proofErr w:type="spellStart"/>
      <w:r>
        <w:t>farmacocinético</w:t>
      </w:r>
      <w:proofErr w:type="spellEnd"/>
      <w:r>
        <w:t xml:space="preserve">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rsidR="00FF277F" w:rsidRDefault="00FF277F" w:rsidP="00FF277F">
      <w:pPr>
        <w:pStyle w:val="NormalWeb"/>
      </w:pPr>
      <w:proofErr w:type="gramStart"/>
      <w:r>
        <w:t>que</w:t>
      </w:r>
      <w:proofErr w:type="gramEnd"/>
      <w:r>
        <w:t xml:space="preserve"> se administraron concomitantemente medicamentos que son inhibidores de CYP 2C9 (como </w:t>
      </w:r>
      <w:proofErr w:type="spellStart"/>
      <w:r>
        <w:t>Tolbutamida</w:t>
      </w:r>
      <w:proofErr w:type="spellEnd"/>
      <w:r>
        <w:t xml:space="preserve"> o </w:t>
      </w:r>
      <w:proofErr w:type="spellStart"/>
      <w:r>
        <w:t>Warfarina</w:t>
      </w:r>
      <w:proofErr w:type="spellEnd"/>
      <w:r>
        <w:t xml:space="preserve">), inhibidores de CYP 2D6 (como los inhibidores selectivos de la recaptura de serotonina, antidepresivos tricíclicos), </w:t>
      </w:r>
      <w:proofErr w:type="spellStart"/>
      <w:r>
        <w:t>Tiazida</w:t>
      </w:r>
      <w:proofErr w:type="spellEnd"/>
      <w:r>
        <w:t xml:space="preserve"> y diuréticos relacionados, inhibidores de la ECA y bloqueadores, de los canales de calcio, no mostraron efectos sobre la farmacocinética del </w:t>
      </w:r>
      <w:proofErr w:type="spellStart"/>
      <w:r>
        <w:t>Sildenafil</w:t>
      </w:r>
      <w:proofErr w:type="spellEnd"/>
      <w:r>
        <w:t>.</w:t>
      </w:r>
    </w:p>
    <w:p w:rsidR="00FF277F" w:rsidRDefault="00FF277F" w:rsidP="00FF277F">
      <w:pPr>
        <w:pStyle w:val="NormalWeb"/>
      </w:pPr>
      <w:r>
        <w:t>SOBREDOSIFICACION:</w:t>
      </w:r>
    </w:p>
    <w:p w:rsidR="00FF277F" w:rsidRDefault="00FF277F" w:rsidP="00FF277F">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rsidR="00FF277F" w:rsidRDefault="00FF277F" w:rsidP="00FF277F">
      <w:pPr>
        <w:pStyle w:val="NormalWeb"/>
      </w:pPr>
      <w:r>
        <w:t>En caso de sobredosis o ingesta accidental, consultar al Servicio de Toxicología del Hospital de EMERGENCIAS MEDICAS Tel.: 220-418 o el 204-800 (</w:t>
      </w:r>
      <w:proofErr w:type="spellStart"/>
      <w:r>
        <w:t>int</w:t>
      </w:r>
      <w:proofErr w:type="spellEnd"/>
      <w:r>
        <w:t>. 011).</w:t>
      </w:r>
    </w:p>
    <w:p w:rsidR="00FF277F" w:rsidRDefault="00FF277F" w:rsidP="00FF277F">
      <w:pPr>
        <w:pStyle w:val="NormalWeb"/>
      </w:pPr>
      <w:r>
        <w:t>RESTRICCIONES DE USO:</w:t>
      </w:r>
    </w:p>
    <w:p w:rsidR="00FF277F" w:rsidRDefault="00FF277F" w:rsidP="00FF277F">
      <w:pPr>
        <w:pStyle w:val="NormalWeb"/>
      </w:pPr>
      <w:r>
        <w:t>No es recomendable el uso de medicamentos para el tratamiento de la disfunción eréctil en hombres cuando no sea aconsejable practicar actividad sexual.</w:t>
      </w:r>
    </w:p>
    <w:p w:rsidR="00FF277F" w:rsidRDefault="00FF277F" w:rsidP="00FF277F">
      <w:pPr>
        <w:pStyle w:val="NormalWeb"/>
      </w:pPr>
      <w:r>
        <w:t>CONSERVACION:</w:t>
      </w:r>
    </w:p>
    <w:p w:rsidR="00FF277F" w:rsidRDefault="00FF277F" w:rsidP="00FF277F">
      <w:pPr>
        <w:pStyle w:val="NormalWeb"/>
      </w:pPr>
      <w:r>
        <w:t>Almacenar a temperatura entre 15° y 30 °C.</w:t>
      </w:r>
    </w:p>
    <w:p w:rsidR="00FF277F" w:rsidRDefault="00FF277F" w:rsidP="00FF277F">
      <w:pPr>
        <w:pStyle w:val="NormalWeb"/>
      </w:pPr>
      <w:r>
        <w:t>PRESENTACIONES:</w:t>
      </w:r>
    </w:p>
    <w:p w:rsidR="00FF277F" w:rsidRDefault="00FF277F" w:rsidP="00FF277F">
      <w:pPr>
        <w:pStyle w:val="NormalWeb"/>
      </w:pPr>
      <w:r>
        <w:t xml:space="preserve">PRAMIL® 25 </w:t>
      </w:r>
    </w:p>
    <w:p w:rsidR="00FF277F" w:rsidRDefault="00FF277F" w:rsidP="00FF277F">
      <w:pPr>
        <w:pStyle w:val="NormalWeb"/>
      </w:pPr>
      <w:r>
        <w:t>Caja conteniendo 1/2/10/20 comprimidos recubiertos.</w:t>
      </w:r>
    </w:p>
    <w:p w:rsidR="00FF277F" w:rsidRDefault="00FF277F" w:rsidP="00FF277F">
      <w:pPr>
        <w:pStyle w:val="NormalWeb"/>
      </w:pPr>
      <w:r>
        <w:lastRenderedPageBreak/>
        <w:t>Caja conteniendo 1/2/10/20 c</w:t>
      </w:r>
      <w:bookmarkStart w:id="0" w:name="_GoBack"/>
      <w:bookmarkEnd w:id="0"/>
      <w:r>
        <w:t>omprimidos masticables.</w:t>
      </w:r>
    </w:p>
    <w:p w:rsidR="00FF277F" w:rsidRDefault="00FF277F" w:rsidP="00FF277F">
      <w:pPr>
        <w:pStyle w:val="NormalWeb"/>
      </w:pPr>
      <w:r>
        <w:t xml:space="preserve">PRAMIL® </w:t>
      </w:r>
    </w:p>
    <w:p w:rsidR="00FF277F" w:rsidRDefault="00FF277F" w:rsidP="00FF277F">
      <w:pPr>
        <w:pStyle w:val="NormalWeb"/>
      </w:pPr>
      <w:r>
        <w:t>Caja conteniendo 1/2/4/10/20 comprimidos recubiertos.</w:t>
      </w:r>
    </w:p>
    <w:p w:rsidR="00FF277F" w:rsidRDefault="00FF277F" w:rsidP="00FF277F">
      <w:pPr>
        <w:pStyle w:val="NormalWeb"/>
      </w:pPr>
      <w:r>
        <w:t>Caja conteniendo 1/2/4/10/20 comprimidos masticables.</w:t>
      </w:r>
    </w:p>
    <w:p w:rsidR="00FF277F" w:rsidRDefault="00FF277F" w:rsidP="00FF277F">
      <w:pPr>
        <w:pStyle w:val="NormalWeb"/>
      </w:pPr>
      <w:r>
        <w:t xml:space="preserve">PRAMIL® 75 </w:t>
      </w:r>
    </w:p>
    <w:p w:rsidR="00FF277F" w:rsidRDefault="00FF277F" w:rsidP="00FF277F">
      <w:pPr>
        <w:pStyle w:val="NormalWeb"/>
      </w:pPr>
      <w:r>
        <w:t>Caja conteniendo 1/2/10/20/30 comprimidos recubiertos.</w:t>
      </w:r>
    </w:p>
    <w:p w:rsidR="00FF277F" w:rsidRDefault="00FF277F" w:rsidP="00FF277F">
      <w:pPr>
        <w:pStyle w:val="NormalWeb"/>
      </w:pPr>
      <w:r>
        <w:t>Caja conteniendo 1/2/10/20 comprimidos masticables.</w:t>
      </w:r>
    </w:p>
    <w:p w:rsidR="00FF277F" w:rsidRDefault="00FF277F" w:rsidP="00FF277F">
      <w:pPr>
        <w:pStyle w:val="NormalWeb"/>
      </w:pPr>
      <w:r>
        <w:t>PRAMIL® FORTE</w:t>
      </w:r>
    </w:p>
    <w:p w:rsidR="00FF277F" w:rsidRDefault="00FF277F" w:rsidP="00FF277F">
      <w:pPr>
        <w:pStyle w:val="NormalWeb"/>
      </w:pPr>
      <w:r>
        <w:t>Caja conteniendo 1/2/10/20/30 comprimidos recubiertos.</w:t>
      </w:r>
    </w:p>
    <w:p w:rsidR="00FF277F" w:rsidRDefault="00FF277F" w:rsidP="00FF277F">
      <w:pPr>
        <w:pStyle w:val="NormalWeb"/>
      </w:pPr>
      <w:r>
        <w:t xml:space="preserve">Estos medicamentos deben ser usados únicamente por prescripción médica y no podrán repetirse sin nueva indicación del facultativo. </w:t>
      </w:r>
    </w:p>
    <w:p w:rsidR="00FF277F" w:rsidRDefault="00FF277F" w:rsidP="00FF277F">
      <w:pPr>
        <w:pStyle w:val="NormalWeb"/>
      </w:pPr>
      <w:r>
        <w:t>En caso de uso de estos medicamentos sin prescripción médica, la ocurrencia de efectos adversos e indeseables será de exclusiva responsabilidad de quien lo consuma.</w:t>
      </w:r>
    </w:p>
    <w:p w:rsidR="00FF277F" w:rsidRDefault="00FF277F" w:rsidP="00FF277F">
      <w:pPr>
        <w:pStyle w:val="NormalWeb"/>
      </w:pPr>
      <w:r>
        <w:t>Si Ud. es deportista y está sometido a control de doping, no consuma estos productos sin consultar a su médico.</w:t>
      </w:r>
    </w:p>
    <w:p w:rsidR="00FF277F" w:rsidRDefault="00FF277F" w:rsidP="00FF277F">
      <w:pPr>
        <w:pStyle w:val="NormalWeb"/>
      </w:pPr>
      <w:r>
        <w:t>Director Técnico: Q.F. Laura Ramírez</w:t>
      </w:r>
    </w:p>
    <w:p w:rsidR="00FF277F" w:rsidRDefault="00FF277F" w:rsidP="00FF277F">
      <w:pPr>
        <w:pStyle w:val="NormalWeb"/>
      </w:pPr>
      <w:r>
        <w:t>Reg. Prof. Nº 4.142</w:t>
      </w:r>
    </w:p>
    <w:p w:rsidR="00FF277F" w:rsidRDefault="00FF277F" w:rsidP="00FF277F">
      <w:pPr>
        <w:pStyle w:val="NormalWeb"/>
      </w:pPr>
      <w:r>
        <w:t>Autorizado por D.N.V.S. del M.S.P. y B.S.</w:t>
      </w:r>
    </w:p>
    <w:p w:rsidR="00FF277F" w:rsidRDefault="00FF277F" w:rsidP="00FF277F">
      <w:pPr>
        <w:pStyle w:val="NormalWeb"/>
      </w:pPr>
      <w:r>
        <w:t>MANTENER FUERA DEL ALCANCE DE LOS NIÑOS</w:t>
      </w:r>
    </w:p>
    <w:p w:rsidR="007C3252" w:rsidRDefault="007C3252"/>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F"/>
    <w:rsid w:val="007C3252"/>
    <w:rsid w:val="00933C1C"/>
    <w:rsid w:val="00A82013"/>
    <w:rsid w:val="00FF2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61A2-95DC-42EA-B609-7487297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77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2020-12-10T19:26:00Z</dcterms:created>
  <dcterms:modified xsi:type="dcterms:W3CDTF">2020-12-10T19:26:00Z</dcterms:modified>
</cp:coreProperties>
</file>