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7F" w:rsidRDefault="00FF277F" w:rsidP="00FF277F">
      <w:pPr>
        <w:pStyle w:val="NormalWeb"/>
      </w:pPr>
      <w:r>
        <w:t xml:space="preserve">PRAMIL® </w:t>
      </w:r>
    </w:p>
    <w:p w:rsidR="00FF277F" w:rsidRDefault="00FF277F" w:rsidP="00FF277F">
      <w:pPr>
        <w:pStyle w:val="NormalWeb"/>
      </w:pPr>
      <w:r>
        <w:t>SILDENAFIL</w:t>
      </w:r>
    </w:p>
    <w:p w:rsidR="00FF277F" w:rsidRDefault="00FF277F" w:rsidP="00FF277F">
      <w:pPr>
        <w:pStyle w:val="NormalWeb"/>
      </w:pPr>
      <w:r>
        <w:t xml:space="preserve">Venta Bajo Receta Comprimidos Recubiertos/Comprimidos Masticables </w:t>
      </w:r>
    </w:p>
    <w:p w:rsidR="00FF277F" w:rsidRDefault="00FF277F" w:rsidP="00FF277F">
      <w:pPr>
        <w:pStyle w:val="NormalWeb"/>
      </w:pPr>
      <w:r>
        <w:t>Industria Paraguaya V.A.: Oral</w:t>
      </w:r>
    </w:p>
    <w:p w:rsidR="00FF277F" w:rsidRDefault="00FF277F" w:rsidP="00FF277F">
      <w:pPr>
        <w:pStyle w:val="NormalWeb"/>
      </w:pPr>
      <w:r>
        <w:t>PRAMIL® 25</w:t>
      </w:r>
    </w:p>
    <w:p w:rsidR="00FF277F" w:rsidRDefault="00FF277F" w:rsidP="00FF277F">
      <w:pPr>
        <w:pStyle w:val="NormalWeb"/>
      </w:pPr>
      <w:r>
        <w:t>SILDENAFIL 25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35 mg de </w:t>
      </w: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 xml:space="preserve">PRAMIL® </w:t>
      </w:r>
    </w:p>
    <w:p w:rsidR="00FF277F" w:rsidRDefault="00FF277F" w:rsidP="00FF277F">
      <w:pPr>
        <w:pStyle w:val="NormalWeb"/>
      </w:pPr>
      <w:r>
        <w:t>SILDENAFIL 50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70 mg de </w:t>
      </w: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PRAMIL® 75</w:t>
      </w:r>
    </w:p>
    <w:p w:rsidR="00FF277F" w:rsidRDefault="00FF277F" w:rsidP="00FF277F">
      <w:pPr>
        <w:pStyle w:val="NormalWeb"/>
      </w:pPr>
      <w:r>
        <w:t>SILDENAFIL 75 mg</w:t>
      </w:r>
    </w:p>
    <w:p w:rsidR="00FF277F" w:rsidRDefault="00FF277F" w:rsidP="00FF277F">
      <w:pPr>
        <w:pStyle w:val="NormalWeb"/>
      </w:pPr>
      <w:r>
        <w:t>FORMULAS:</w:t>
      </w:r>
    </w:p>
    <w:p w:rsidR="00FF277F" w:rsidRDefault="00FF277F" w:rsidP="00FF277F">
      <w:pPr>
        <w:pStyle w:val="NormalWeb"/>
      </w:pPr>
      <w:r>
        <w:lastRenderedPageBreak/>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105 mg </w:t>
      </w: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PRAMIL® FORTE</w:t>
      </w:r>
    </w:p>
    <w:p w:rsidR="00FF277F" w:rsidRDefault="00FF277F" w:rsidP="00FF277F">
      <w:pPr>
        <w:pStyle w:val="NormalWeb"/>
      </w:pPr>
      <w:r>
        <w:t>SILDENAFIL 100 mg</w:t>
      </w:r>
    </w:p>
    <w:p w:rsidR="00FF277F" w:rsidRDefault="00FF277F" w:rsidP="00FF277F">
      <w:pPr>
        <w:pStyle w:val="NormalWeb"/>
      </w:pPr>
      <w:r>
        <w:t>FORMULA:</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140 mg </w:t>
      </w:r>
      <w:proofErr w:type="spellStart"/>
      <w:r>
        <w:t>Sildenafil</w:t>
      </w:r>
      <w:proofErr w:type="spellEnd"/>
      <w:r>
        <w:t xml:space="preserve"> Citrato)................................................100 mg.</w:t>
      </w:r>
    </w:p>
    <w:p w:rsidR="00FF277F" w:rsidRDefault="00FF277F" w:rsidP="00FF277F">
      <w:pPr>
        <w:pStyle w:val="NormalWeb"/>
      </w:pPr>
      <w:r>
        <w:t>Excipientes......................................................................................................c.s.p.</w:t>
      </w:r>
    </w:p>
    <w:p w:rsidR="00FF277F" w:rsidRDefault="00FF277F" w:rsidP="00FF277F">
      <w:pPr>
        <w:pStyle w:val="NormalWeb"/>
      </w:pPr>
      <w:r>
        <w:t>ACCION TERAPEUTICA:</w:t>
      </w:r>
    </w:p>
    <w:p w:rsidR="00FF277F" w:rsidRDefault="00FF277F" w:rsidP="00FF277F">
      <w:pPr>
        <w:pStyle w:val="NormalWeb"/>
      </w:pPr>
      <w:r>
        <w:t xml:space="preserve">Inhibidor reversible y selectivo de la </w:t>
      </w:r>
      <w:proofErr w:type="spellStart"/>
      <w:r>
        <w:t>fosfodiesterasa</w:t>
      </w:r>
      <w:proofErr w:type="spellEnd"/>
      <w:r>
        <w:t xml:space="preserve"> tipo 5 (PDE5) para el tratamiento sintomático de la disfunción eréctil.</w:t>
      </w:r>
    </w:p>
    <w:p w:rsidR="00FF277F" w:rsidRDefault="00FF277F" w:rsidP="00FF277F">
      <w:pPr>
        <w:pStyle w:val="NormalWeb"/>
      </w:pPr>
      <w:r>
        <w:t>MECANISMO DE ACCION Y DATOS FARMACOCINETICOS:</w:t>
      </w:r>
    </w:p>
    <w:p w:rsidR="00FF277F" w:rsidRDefault="00FF277F" w:rsidP="00FF277F">
      <w:pPr>
        <w:pStyle w:val="NormalWeb"/>
      </w:pPr>
      <w:r>
        <w:t xml:space="preserve">La erección depende de la liberación de óxido nítrico (ON) en el cuerpo cavernoso del pene durante la estimulación sexual. El </w:t>
      </w:r>
      <w:proofErr w:type="spellStart"/>
      <w:r>
        <w:t>Sildenafil</w:t>
      </w:r>
      <w:proofErr w:type="spellEnd"/>
      <w:r>
        <w:t xml:space="preserve"> aumenta la acción del ON al inhibir la </w:t>
      </w:r>
      <w:proofErr w:type="spellStart"/>
      <w:r>
        <w:t>fosfodiesterasa</w:t>
      </w:r>
      <w:proofErr w:type="spellEnd"/>
      <w:r>
        <w:t xml:space="preserve"> tipo 5 (PDE5); responsable de la degradación del </w:t>
      </w:r>
      <w:proofErr w:type="spellStart"/>
      <w:r>
        <w:t>guanosin-monofosfatocíclico</w:t>
      </w:r>
      <w:proofErr w:type="spellEnd"/>
      <w:r>
        <w:t xml:space="preserve"> (</w:t>
      </w:r>
      <w:proofErr w:type="spellStart"/>
      <w:r>
        <w:t>cGMP</w:t>
      </w:r>
      <w:proofErr w:type="spellEnd"/>
      <w:r>
        <w:t xml:space="preserve">), produciendo así la relajación de los músculos del cuerpo cavernoso y permitiendo el </w:t>
      </w:r>
      <w:proofErr w:type="spellStart"/>
      <w:r>
        <w:t>aflujo</w:t>
      </w:r>
      <w:proofErr w:type="spellEnd"/>
      <w:r>
        <w:t xml:space="preserve"> de sangre responsable de la erección. El </w:t>
      </w:r>
      <w:proofErr w:type="spellStart"/>
      <w:r>
        <w:t>Sildenafil</w:t>
      </w:r>
      <w:proofErr w:type="spellEnd"/>
      <w:r>
        <w:t xml:space="preserve">, utilizado a las dosis recomendadas, no produce erección en ausencia de la estimulación sexual. El </w:t>
      </w:r>
      <w:proofErr w:type="spellStart"/>
      <w:r>
        <w:t>Sildenafil</w:t>
      </w:r>
      <w:proofErr w:type="spellEnd"/>
      <w:r>
        <w:t xml:space="preserve"> es selectivo en su acción sobre la PDE5. Esta selectividad, 4.000 veces mayor que para la </w:t>
      </w:r>
      <w:proofErr w:type="spellStart"/>
      <w:r>
        <w:t>fosfodiesterasa</w:t>
      </w:r>
      <w:proofErr w:type="spellEnd"/>
      <w:r>
        <w:t xml:space="preserve"> PDE3 es muy importante porque ésta influye sobre la contractilidad cardíaca. El </w:t>
      </w:r>
      <w:proofErr w:type="spellStart"/>
      <w:r>
        <w:t>Sildenafil</w:t>
      </w:r>
      <w:proofErr w:type="spellEnd"/>
      <w:r>
        <w:t xml:space="preserve"> es rápidamente absorbido después de la administración oral y se elimina principalmente por el metabolismo hepático donde es convertido a un metabolito activo, eliminándose principalmente por materias fecales y un 13% por orina. Tanto el </w:t>
      </w:r>
      <w:proofErr w:type="spellStart"/>
      <w:r>
        <w:t>Sildenafil</w:t>
      </w:r>
      <w:proofErr w:type="spellEnd"/>
      <w:r>
        <w:t xml:space="preserve"> como su metabolito activo tienen una vida media aproximada de 4 horas. La duración del efecto de </w:t>
      </w:r>
      <w:proofErr w:type="spellStart"/>
      <w:r>
        <w:t>Sildenafil</w:t>
      </w:r>
      <w:proofErr w:type="spellEnd"/>
      <w:r>
        <w:t xml:space="preserve"> es de 4 horas pero con una respuesta disminuida en relación a las 2 horas.</w:t>
      </w:r>
    </w:p>
    <w:p w:rsidR="00FF277F" w:rsidRDefault="00FF277F" w:rsidP="00FF277F">
      <w:pPr>
        <w:pStyle w:val="NormalWeb"/>
      </w:pPr>
      <w:r>
        <w:t xml:space="preserve">El </w:t>
      </w:r>
      <w:proofErr w:type="spellStart"/>
      <w:r>
        <w:t>Sildenafil</w:t>
      </w:r>
      <w:proofErr w:type="spellEnd"/>
      <w:r>
        <w:t xml:space="preserve"> actúa produciendo:</w:t>
      </w:r>
    </w:p>
    <w:p w:rsidR="00FF277F" w:rsidRDefault="00FF277F" w:rsidP="00FF277F">
      <w:pPr>
        <w:pStyle w:val="NormalWeb"/>
      </w:pPr>
      <w:r>
        <w:t>1.- Una erección suficiente para el acto sexual y</w:t>
      </w:r>
    </w:p>
    <w:p w:rsidR="00FF277F" w:rsidRDefault="00FF277F" w:rsidP="00FF277F">
      <w:pPr>
        <w:pStyle w:val="NormalWeb"/>
      </w:pPr>
      <w:r>
        <w:lastRenderedPageBreak/>
        <w:t>2.- Mantiene la erección después de la penetración.</w:t>
      </w:r>
    </w:p>
    <w:p w:rsidR="00FF277F" w:rsidRDefault="00FF277F" w:rsidP="00FF277F">
      <w:pPr>
        <w:pStyle w:val="NormalWeb"/>
      </w:pPr>
      <w:r>
        <w:t xml:space="preserve">3.- El </w:t>
      </w:r>
      <w:proofErr w:type="spellStart"/>
      <w:r>
        <w:t>Sildenafil</w:t>
      </w:r>
      <w:proofErr w:type="spellEnd"/>
      <w:r>
        <w:t xml:space="preserve"> logra la erección, independiente de la edad del paciente.</w:t>
      </w:r>
    </w:p>
    <w:p w:rsidR="00FF277F" w:rsidRDefault="00FF277F" w:rsidP="00FF277F">
      <w:pPr>
        <w:pStyle w:val="NormalWeb"/>
      </w:pPr>
      <w:r>
        <w:t>INDICACIONES TERAPEUTICAS:</w:t>
      </w:r>
    </w:p>
    <w:p w:rsidR="00FF277F" w:rsidRDefault="00FF277F" w:rsidP="00FF277F">
      <w:pPr>
        <w:pStyle w:val="NormalWeb"/>
      </w:pPr>
      <w:r>
        <w:t xml:space="preserve">El </w:t>
      </w:r>
      <w:proofErr w:type="spellStart"/>
      <w:r>
        <w:t>Sildenafil</w:t>
      </w:r>
      <w:proofErr w:type="spellEnd"/>
      <w:r>
        <w:t xml:space="preserve"> está indicado en pacientes con disfunción de la erección.</w:t>
      </w:r>
    </w:p>
    <w:p w:rsidR="00FF277F" w:rsidRDefault="00FF277F" w:rsidP="00FF277F">
      <w:pPr>
        <w:pStyle w:val="NormalWeb"/>
      </w:pPr>
      <w:r>
        <w:t>POSOLOGIA:</w:t>
      </w:r>
      <w:bookmarkStart w:id="0" w:name="_GoBack"/>
      <w:bookmarkEnd w:id="0"/>
    </w:p>
    <w:p w:rsidR="00FF277F" w:rsidRDefault="00FF277F" w:rsidP="00FF277F">
      <w:pPr>
        <w:pStyle w:val="NormalWeb"/>
      </w:pPr>
      <w:r>
        <w:t>Comprimidos: Son para administración vía oral.</w:t>
      </w:r>
    </w:p>
    <w:p w:rsidR="00FF277F" w:rsidRDefault="00FF277F" w:rsidP="00FF277F">
      <w:pPr>
        <w:pStyle w:val="NormalWeb"/>
      </w:pPr>
      <w:r>
        <w:t>Uso en adultos: Para la mayoría de los pacientes la dosis recomendada es de 50 mg, tomadas según necesidad, aproximadamente 1 hora antes del acto sexual.</w:t>
      </w:r>
    </w:p>
    <w:p w:rsidR="00FF277F" w:rsidRDefault="00FF277F" w:rsidP="00FF277F">
      <w:pPr>
        <w:pStyle w:val="NormalWeb"/>
      </w:pPr>
      <w:r>
        <w:t>Con base en la eficacia y tolerancia, la dosis máxima recomendada es de 100 mg, que puede disminuirse a 25 mg.</w:t>
      </w:r>
    </w:p>
    <w:p w:rsidR="00FF277F" w:rsidRDefault="00FF277F" w:rsidP="00FF277F">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rsidR="00FF277F" w:rsidRDefault="00FF277F" w:rsidP="00FF277F">
      <w:pPr>
        <w:pStyle w:val="NormalWeb"/>
      </w:pPr>
      <w:r>
        <w:t>La frecuencia máxima recomendada es de una vez al día.</w:t>
      </w:r>
    </w:p>
    <w:p w:rsidR="00FF277F" w:rsidRDefault="00FF277F" w:rsidP="00FF277F">
      <w:pPr>
        <w:pStyle w:val="NormalWeb"/>
      </w:pPr>
      <w:r>
        <w:t xml:space="preserve">Se deben tener en cuenta los siguientes factores que producen un aumento en los niveles plasmáticos de </w:t>
      </w:r>
      <w:proofErr w:type="spellStart"/>
      <w:r>
        <w:t>Sildenafil</w:t>
      </w:r>
      <w:proofErr w:type="spellEnd"/>
      <w:r>
        <w:t xml:space="preserve">: Edad mayor de 65 años (aumento del 40%), insuficiencia hepática (cirrosis, 80%), insuficiencia renal severa (aumento del 100% con </w:t>
      </w:r>
      <w:proofErr w:type="spellStart"/>
      <w:r>
        <w:t>clearance</w:t>
      </w:r>
      <w:proofErr w:type="spellEnd"/>
      <w:r>
        <w:t xml:space="preserve"> de creatinina de &lt;30 </w:t>
      </w:r>
      <w:proofErr w:type="spellStart"/>
      <w:r>
        <w:t>mL</w:t>
      </w:r>
      <w:proofErr w:type="spellEnd"/>
      <w:r>
        <w:t>/min) y el uso concomitante de inhibidores del citocromo P450 (</w:t>
      </w:r>
      <w:proofErr w:type="spellStart"/>
      <w:r>
        <w:t>Eritromicina</w:t>
      </w:r>
      <w:proofErr w:type="spellEnd"/>
      <w:r>
        <w:t xml:space="preserve">, </w:t>
      </w:r>
      <w:proofErr w:type="spellStart"/>
      <w:r>
        <w:t>Ketoconazol</w:t>
      </w:r>
      <w:proofErr w:type="spellEnd"/>
      <w:r>
        <w:t xml:space="preserve">, </w:t>
      </w:r>
      <w:proofErr w:type="spellStart"/>
      <w:r>
        <w:t>Itraconazol</w:t>
      </w:r>
      <w:proofErr w:type="spellEnd"/>
      <w:r>
        <w:t>, 200 %).</w:t>
      </w:r>
    </w:p>
    <w:p w:rsidR="00FF277F" w:rsidRDefault="00FF277F" w:rsidP="00FF277F">
      <w:pPr>
        <w:pStyle w:val="NormalWeb"/>
      </w:pPr>
      <w:r>
        <w:t>Debido a que los niveles plasmáticos más altos pueden aumentar la eficacia de la droga así como la frecuencia de efectos adversos, en los pacientes que presenten alguno de los factores descriptos, la dosis inicial debe establecerse en 25 mg (1/2 comprimido masticable).</w:t>
      </w:r>
    </w:p>
    <w:p w:rsidR="00FF277F" w:rsidRDefault="00FF277F" w:rsidP="00FF277F">
      <w:pPr>
        <w:pStyle w:val="NormalWeb"/>
      </w:pPr>
      <w:r>
        <w:t>CONTRAINDICACIONES:</w:t>
      </w:r>
    </w:p>
    <w:p w:rsidR="00FF277F" w:rsidRDefault="00FF277F" w:rsidP="00FF277F">
      <w:pPr>
        <w:pStyle w:val="NormalWeb"/>
      </w:pPr>
      <w:r>
        <w:t xml:space="preserve">El </w:t>
      </w:r>
      <w:proofErr w:type="spellStart"/>
      <w:r>
        <w:t>Sildenafil</w:t>
      </w:r>
      <w:proofErr w:type="spellEnd"/>
      <w:r>
        <w:t xml:space="preserve"> está contraindicado en pacientes con hipersensibilidad al </w:t>
      </w:r>
      <w:proofErr w:type="spellStart"/>
      <w:r>
        <w:t>Sildenafil</w:t>
      </w:r>
      <w:proofErr w:type="spellEnd"/>
      <w:r>
        <w:t>. No debe ser administrado a pacientes que están recibiendo nitratos orgánicos.</w:t>
      </w:r>
    </w:p>
    <w:p w:rsidR="00FF277F" w:rsidRDefault="00FF277F" w:rsidP="00FF277F">
      <w:pPr>
        <w:pStyle w:val="NormalWeb"/>
      </w:pPr>
      <w:r>
        <w:t>PRECAUCIONES Y ADVERTENCIAS:</w:t>
      </w:r>
    </w:p>
    <w:p w:rsidR="00FF277F" w:rsidRDefault="00FF277F" w:rsidP="00FF277F">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rsidR="00FF277F" w:rsidRDefault="00FF277F" w:rsidP="00FF277F">
      <w:pPr>
        <w:pStyle w:val="NormalWeb"/>
      </w:pPr>
      <w:r>
        <w:t xml:space="preserve">Los medicamentos para el tratamiento de la disfunción eréctil deben usarse con cautela en pacientes con deformaciones anatómicas del pene (como angulación, fibrosis cavernosa o enfermedad de </w:t>
      </w:r>
      <w:proofErr w:type="spellStart"/>
      <w:r>
        <w:t>Peyronie</w:t>
      </w:r>
      <w:proofErr w:type="spellEnd"/>
      <w:r>
        <w:t xml:space="preserve">), o en pacientes con afecciones que puedan predisponerlos al priapismo (anemia </w:t>
      </w:r>
      <w:proofErr w:type="spellStart"/>
      <w:r>
        <w:t>drepanocítica</w:t>
      </w:r>
      <w:proofErr w:type="spellEnd"/>
      <w:r>
        <w:t>, mieloma múltiple o leucemia).</w:t>
      </w:r>
    </w:p>
    <w:p w:rsidR="00FF277F" w:rsidRDefault="00FF277F" w:rsidP="00FF277F">
      <w:pPr>
        <w:pStyle w:val="NormalWeb"/>
      </w:pPr>
      <w:r>
        <w:t xml:space="preserve">No se han estudiado la seguridad y la eficacia de las combinaciones de </w:t>
      </w:r>
      <w:proofErr w:type="spellStart"/>
      <w:r>
        <w:t>Sildenafil</w:t>
      </w:r>
      <w:proofErr w:type="spellEnd"/>
      <w:r>
        <w:t xml:space="preserve"> con otras formas de tratamiento para la disfunción eréctil, por lo que no se recomiendan estas combinaciones.</w:t>
      </w:r>
    </w:p>
    <w:p w:rsidR="00FF277F" w:rsidRDefault="00FF277F" w:rsidP="00FF277F">
      <w:pPr>
        <w:pStyle w:val="NormalWeb"/>
      </w:pPr>
      <w:r>
        <w:t xml:space="preserve">Los estudios in vitro realizados con plaquetas humanas indican que el </w:t>
      </w:r>
      <w:proofErr w:type="spellStart"/>
      <w:r>
        <w:t>Sildenafil</w:t>
      </w:r>
      <w:proofErr w:type="spellEnd"/>
      <w:r>
        <w:t xml:space="preserve"> potencia el efecto </w:t>
      </w:r>
      <w:proofErr w:type="spellStart"/>
      <w:r>
        <w:t>antiagregante</w:t>
      </w:r>
      <w:proofErr w:type="spellEnd"/>
      <w:r>
        <w:t xml:space="preserve"> del </w:t>
      </w:r>
      <w:proofErr w:type="spellStart"/>
      <w:r>
        <w:t>Nitroprusiato</w:t>
      </w:r>
      <w:proofErr w:type="spellEnd"/>
      <w:r>
        <w:t xml:space="preserve"> de Sodio (un donador de </w:t>
      </w:r>
      <w:proofErr w:type="spellStart"/>
      <w:r>
        <w:t>oxido</w:t>
      </w:r>
      <w:proofErr w:type="spellEnd"/>
      <w:r>
        <w:t xml:space="preserve"> nítrico). No se dispone de información concerniente a la seguridad en la administración de </w:t>
      </w:r>
      <w:proofErr w:type="spellStart"/>
      <w:r>
        <w:t>Sildenafil</w:t>
      </w:r>
      <w:proofErr w:type="spellEnd"/>
      <w:r>
        <w:t xml:space="preserve"> a pacientes con trastornos hemorrágicos o con úlceras pépticas activas, por lo que en estos pacientes se debe administrar </w:t>
      </w:r>
      <w:proofErr w:type="spellStart"/>
      <w:r>
        <w:t>Sildenafil</w:t>
      </w:r>
      <w:proofErr w:type="spellEnd"/>
      <w:r>
        <w:t xml:space="preserve"> con cautela. Una minoría de pacientes con la afección hereditaria retinitis </w:t>
      </w:r>
      <w:proofErr w:type="spellStart"/>
      <w:r>
        <w:t>pigmentosa</w:t>
      </w:r>
      <w:proofErr w:type="spellEnd"/>
      <w:r>
        <w:t xml:space="preserve"> presenta trastornos genéticos de las </w:t>
      </w:r>
      <w:proofErr w:type="spellStart"/>
      <w:r>
        <w:t>fosfodiesterasas</w:t>
      </w:r>
      <w:proofErr w:type="spellEnd"/>
      <w:r>
        <w:t xml:space="preserve"> retinianas; no se dispone de información acerca de la seguridad en la administración de </w:t>
      </w:r>
      <w:proofErr w:type="spellStart"/>
      <w:r>
        <w:t>Sildenafil</w:t>
      </w:r>
      <w:proofErr w:type="spellEnd"/>
      <w:r>
        <w:t xml:space="preserve"> a estos pacientes, por lo que </w:t>
      </w:r>
      <w:proofErr w:type="spellStart"/>
      <w:r>
        <w:t>Sildenafil</w:t>
      </w:r>
      <w:proofErr w:type="spellEnd"/>
      <w:r>
        <w:t xml:space="preserve"> debe administrarse con cautela. No existen recomendaciones especiales con respecto a la conducción de vehículos o la operación de maquinaria.</w:t>
      </w:r>
    </w:p>
    <w:p w:rsidR="00FF277F" w:rsidRDefault="00FF277F" w:rsidP="00FF277F">
      <w:pPr>
        <w:pStyle w:val="NormalWeb"/>
      </w:pPr>
      <w:r>
        <w:t>REACCIONES ADVERSAS Y EFECTOS SECUNDARIOS:</w:t>
      </w:r>
    </w:p>
    <w:p w:rsidR="00FF277F" w:rsidRDefault="00FF277F" w:rsidP="00FF277F">
      <w:pPr>
        <w:pStyle w:val="NormalWeb"/>
      </w:pPr>
      <w:r>
        <w:t xml:space="preserve">Son poco frecuentes, transitorios y de naturaleza leve. No se observan en más del 2% de los pacientes: Cefalea, enrojecimiento de la cara, dispepsia, congestión nasal, visión anormal, diarrea, mareos, </w:t>
      </w:r>
      <w:proofErr w:type="spellStart"/>
      <w:r>
        <w:t>rash</w:t>
      </w:r>
      <w:proofErr w:type="spellEnd"/>
      <w:r>
        <w:t xml:space="preserve"> cutáneo.</w:t>
      </w:r>
    </w:p>
    <w:p w:rsidR="00FF277F" w:rsidRDefault="00FF277F" w:rsidP="00FF277F">
      <w:pPr>
        <w:pStyle w:val="NormalWeb"/>
      </w:pPr>
      <w:r>
        <w:t>La visión anormal es leve y transitoria, afectando principalmente la visión de los colores, pero puede producir también una sensibilidad aumentada a la luz o visión borrosa. No se han descripto casos de priapismo.</w:t>
      </w:r>
    </w:p>
    <w:p w:rsidR="00FF277F" w:rsidRDefault="00FF277F" w:rsidP="00FF277F">
      <w:pPr>
        <w:pStyle w:val="NormalWeb"/>
      </w:pPr>
      <w:r>
        <w:t>INTERACCIONES CON ALIMENTOS Y MEDICAMENTOS:</w:t>
      </w:r>
    </w:p>
    <w:p w:rsidR="00FF277F" w:rsidRDefault="00FF277F" w:rsidP="00FF277F">
      <w:pPr>
        <w:pStyle w:val="NormalWeb"/>
      </w:pPr>
      <w:r>
        <w:t xml:space="preserve">El metabolismo de </w:t>
      </w:r>
      <w:proofErr w:type="spellStart"/>
      <w:r>
        <w:t>Sildenafil</w:t>
      </w:r>
      <w:proofErr w:type="spellEnd"/>
      <w:r>
        <w:t xml:space="preserve"> es mediado principalmente por las </w:t>
      </w:r>
      <w:proofErr w:type="spellStart"/>
      <w:r>
        <w:t>isoformas</w:t>
      </w:r>
      <w:proofErr w:type="spellEnd"/>
      <w:r>
        <w:t xml:space="preserve"> 3A4 (ruta principal) y 2C9 (ruta secundaria) del citocromo P450 (CYP). Por lo tanto, los inhibidores de estas </w:t>
      </w:r>
      <w:proofErr w:type="spellStart"/>
      <w:r>
        <w:t>isoenzimas</w:t>
      </w:r>
      <w:proofErr w:type="spellEnd"/>
      <w:r>
        <w:t xml:space="preserve"> tal vez reduzcan la depuración del </w:t>
      </w:r>
      <w:proofErr w:type="spellStart"/>
      <w:r>
        <w:t>Sildenafil</w:t>
      </w:r>
      <w:proofErr w:type="spellEnd"/>
      <w:r>
        <w:t>.</w:t>
      </w:r>
    </w:p>
    <w:p w:rsidR="00FF277F" w:rsidRDefault="00FF277F" w:rsidP="00FF277F">
      <w:pPr>
        <w:pStyle w:val="NormalWeb"/>
      </w:pPr>
      <w:r>
        <w:t xml:space="preserve">Los estudios de farmacocinética de población de los datos obtenidos de estudios clínicos, demostraron reducción en la depuración de </w:t>
      </w:r>
      <w:proofErr w:type="spellStart"/>
      <w:r>
        <w:t>Sildenafil</w:t>
      </w:r>
      <w:proofErr w:type="spellEnd"/>
      <w:r>
        <w:t xml:space="preserve"> cuando se administró concomitantemente con inhibidores de CYP 3A4 (como </w:t>
      </w:r>
      <w:proofErr w:type="spellStart"/>
      <w:r>
        <w:t>Ketoconazol</w:t>
      </w:r>
      <w:proofErr w:type="spellEnd"/>
      <w:r>
        <w:t xml:space="preserve">, </w:t>
      </w:r>
      <w:proofErr w:type="spellStart"/>
      <w:r>
        <w:t>Eritromicina</w:t>
      </w:r>
      <w:proofErr w:type="spellEnd"/>
      <w:r>
        <w:t xml:space="preserve">, Cimetidina). La Cimetidina (800 mg), un inhibidor no específico de CYP, causó un aumento del 56% en las concentraciones plasmáticas del </w:t>
      </w:r>
      <w:proofErr w:type="spellStart"/>
      <w:r>
        <w:t>Sildenafil</w:t>
      </w:r>
      <w:proofErr w:type="spellEnd"/>
      <w:r>
        <w:t xml:space="preserve">, cuando se administró concomitantemente con </w:t>
      </w:r>
      <w:proofErr w:type="spellStart"/>
      <w:r>
        <w:t>Sildenafil</w:t>
      </w:r>
      <w:proofErr w:type="spellEnd"/>
      <w:r>
        <w:t xml:space="preserve"> (50 mg) a voluntarios sanos. Cuando se administró una dosis de 100 mg de </w:t>
      </w:r>
      <w:proofErr w:type="spellStart"/>
      <w:r>
        <w:t>Sildenafil</w:t>
      </w:r>
      <w:proofErr w:type="spellEnd"/>
      <w:r>
        <w:t xml:space="preserve"> concomitantemente con </w:t>
      </w:r>
      <w:proofErr w:type="spellStart"/>
      <w:r>
        <w:t>Eritromicina</w:t>
      </w:r>
      <w:proofErr w:type="spellEnd"/>
      <w:r>
        <w:t xml:space="preserve">, inhibidor específico de la CYP 3A4, en estado estable (500 mg, 2 veces al día, durante 5 días), hubo una elevación del 182% en la exposición sistémica a </w:t>
      </w:r>
      <w:proofErr w:type="spellStart"/>
      <w:r>
        <w:t>Sildenafil</w:t>
      </w:r>
      <w:proofErr w:type="spellEnd"/>
      <w:r>
        <w:t xml:space="preserve"> (ABC). Además, la administración concomitante del </w:t>
      </w:r>
      <w:proofErr w:type="spellStart"/>
      <w:r>
        <w:t>Saquinavir</w:t>
      </w:r>
      <w:proofErr w:type="spellEnd"/>
      <w:r>
        <w:t xml:space="preserve">, inhibidor de la proteasa del HIV, también inhibidor de la CYP 3A4, en estado estable (1.200 mg, 3 veces al día) con </w:t>
      </w:r>
      <w:proofErr w:type="spellStart"/>
      <w:r>
        <w:lastRenderedPageBreak/>
        <w:t>Sildenafil</w:t>
      </w:r>
      <w:proofErr w:type="spellEnd"/>
      <w:r>
        <w:t xml:space="preserve"> (dosis única de 100 mg), </w:t>
      </w:r>
      <w:proofErr w:type="spellStart"/>
      <w:r>
        <w:t>dió</w:t>
      </w:r>
      <w:proofErr w:type="spellEnd"/>
      <w:r>
        <w:t xml:space="preserve"> lugar a una elevación del 140% en la </w:t>
      </w:r>
      <w:proofErr w:type="spellStart"/>
      <w:r>
        <w:t>Cmáx</w:t>
      </w:r>
      <w:proofErr w:type="spellEnd"/>
      <w:r>
        <w:t xml:space="preserve"> de </w:t>
      </w:r>
      <w:proofErr w:type="spellStart"/>
      <w:r>
        <w:t>Sildenafil</w:t>
      </w:r>
      <w:proofErr w:type="spellEnd"/>
      <w:r>
        <w:t xml:space="preserve"> y del 210% en el ABC. El </w:t>
      </w:r>
      <w:proofErr w:type="spellStart"/>
      <w:r>
        <w:t>Sildenafil</w:t>
      </w:r>
      <w:proofErr w:type="spellEnd"/>
      <w:r>
        <w:t xml:space="preserve"> no tuvo efectos en las características farmacocinéticas de </w:t>
      </w:r>
      <w:proofErr w:type="spellStart"/>
      <w:r>
        <w:t>Saquinavir</w:t>
      </w:r>
      <w:proofErr w:type="spellEnd"/>
      <w:r>
        <w:t xml:space="preserve">. Serían de esperar mayores efectos con los inhibidores </w:t>
      </w:r>
      <w:proofErr w:type="spellStart"/>
      <w:r>
        <w:t>mas</w:t>
      </w:r>
      <w:proofErr w:type="spellEnd"/>
      <w:r>
        <w:t xml:space="preserve"> potentes de CYP 3A4, como </w:t>
      </w:r>
      <w:proofErr w:type="spellStart"/>
      <w:r>
        <w:t>Ketoconazol</w:t>
      </w:r>
      <w:proofErr w:type="spellEnd"/>
      <w:r>
        <w:t xml:space="preserve"> e </w:t>
      </w:r>
      <w:proofErr w:type="spellStart"/>
      <w:r>
        <w:t>Itraconazol</w:t>
      </w:r>
      <w:proofErr w:type="spellEnd"/>
      <w:r>
        <w:t xml:space="preserve">. La administración concomitante de </w:t>
      </w:r>
      <w:proofErr w:type="spellStart"/>
      <w:r>
        <w:t>Ritonavir</w:t>
      </w:r>
      <w:proofErr w:type="spellEnd"/>
      <w:r>
        <w:t xml:space="preserve">, inhibidor de la proteasa del HIV, potente inhibidor de P450, en estado estable (400 mg, 2 veces al día) con </w:t>
      </w:r>
      <w:proofErr w:type="spellStart"/>
      <w:r>
        <w:t>Sildenafil</w:t>
      </w:r>
      <w:proofErr w:type="spellEnd"/>
      <w:r>
        <w:t xml:space="preserve"> (dosis de 100 mg única), produjo un incremento del 300% (4 veces) en la </w:t>
      </w:r>
      <w:proofErr w:type="spellStart"/>
      <w:r>
        <w:t>Cmáx</w:t>
      </w:r>
      <w:proofErr w:type="spellEnd"/>
      <w:r>
        <w:t xml:space="preserve"> y de 1.000% (11 veces) del ABC de </w:t>
      </w:r>
      <w:proofErr w:type="spellStart"/>
      <w:r>
        <w:t>Sildenafil</w:t>
      </w:r>
      <w:proofErr w:type="spellEnd"/>
      <w:r>
        <w:t xml:space="preserve"> plasmática. A las 24 horas, las concentraciones plasmáticas de </w:t>
      </w:r>
      <w:proofErr w:type="spellStart"/>
      <w:r>
        <w:t>Sildenafil</w:t>
      </w:r>
      <w:proofErr w:type="spellEnd"/>
      <w:r>
        <w:t xml:space="preserve"> fueron de aproximadamente 200 mg/</w:t>
      </w:r>
      <w:proofErr w:type="spellStart"/>
      <w:r>
        <w:t>mL</w:t>
      </w:r>
      <w:proofErr w:type="spellEnd"/>
      <w:r>
        <w:t>, en comparación con aproximadamente 5 mg/</w:t>
      </w:r>
      <w:proofErr w:type="spellStart"/>
      <w:r>
        <w:t>mL</w:t>
      </w:r>
      <w:proofErr w:type="spellEnd"/>
      <w:r>
        <w:t xml:space="preserve"> cuando se administró </w:t>
      </w:r>
      <w:proofErr w:type="spellStart"/>
      <w:r>
        <w:t>Sildenafil</w:t>
      </w:r>
      <w:proofErr w:type="spellEnd"/>
      <w:r>
        <w:t xml:space="preserve"> solo. Estos resultados son consistentes con los intensos efectos de </w:t>
      </w:r>
      <w:proofErr w:type="spellStart"/>
      <w:r>
        <w:t>Ritonavir</w:t>
      </w:r>
      <w:proofErr w:type="spellEnd"/>
      <w:r>
        <w:t xml:space="preserve"> sobre una amplia variedad de sustratos de la enzima P450.</w:t>
      </w:r>
    </w:p>
    <w:p w:rsidR="00FF277F" w:rsidRDefault="00FF277F" w:rsidP="00FF277F">
      <w:pPr>
        <w:pStyle w:val="NormalWeb"/>
      </w:pPr>
      <w:proofErr w:type="spellStart"/>
      <w:r>
        <w:t>Sildenafil</w:t>
      </w:r>
      <w:proofErr w:type="spellEnd"/>
      <w:r>
        <w:t xml:space="preserve"> no tuvo efectos sobre el comportamiento </w:t>
      </w:r>
      <w:proofErr w:type="spellStart"/>
      <w:r>
        <w:t>farmacocinético</w:t>
      </w:r>
      <w:proofErr w:type="spellEnd"/>
      <w:r>
        <w:t xml:space="preserve"> de </w:t>
      </w:r>
      <w:proofErr w:type="spellStart"/>
      <w:r>
        <w:t>Ritonavir</w:t>
      </w:r>
      <w:proofErr w:type="spellEnd"/>
      <w:r>
        <w:t xml:space="preserve">. La administración de antiácidos en dosis únicas (hidróxido de magnesio/hidróxido de aluminio), no modificó la biodisponibilidad de </w:t>
      </w:r>
      <w:proofErr w:type="spellStart"/>
      <w:r>
        <w:t>Sildenafil</w:t>
      </w:r>
      <w:proofErr w:type="spellEnd"/>
      <w:r>
        <w:t xml:space="preserve">. Los datos de la farmacocinética de </w:t>
      </w:r>
      <w:proofErr w:type="spellStart"/>
      <w:r>
        <w:t>Sildenafil</w:t>
      </w:r>
      <w:proofErr w:type="spellEnd"/>
      <w:r>
        <w:t xml:space="preserve"> obtenidos de pacientes en estudios clínicos en los f </w:t>
      </w:r>
    </w:p>
    <w:p w:rsidR="00FF277F" w:rsidRDefault="00FF277F" w:rsidP="00FF277F">
      <w:pPr>
        <w:pStyle w:val="NormalWeb"/>
      </w:pPr>
      <w:proofErr w:type="gramStart"/>
      <w:r>
        <w:t>que</w:t>
      </w:r>
      <w:proofErr w:type="gramEnd"/>
      <w:r>
        <w:t xml:space="preserve"> se administraron concomitantemente medicamentos que son inhibidores de CYP 2C9 (como </w:t>
      </w:r>
      <w:proofErr w:type="spellStart"/>
      <w:r>
        <w:t>Tolbutamida</w:t>
      </w:r>
      <w:proofErr w:type="spellEnd"/>
      <w:r>
        <w:t xml:space="preserve"> o </w:t>
      </w:r>
      <w:proofErr w:type="spellStart"/>
      <w:r>
        <w:t>Warfarina</w:t>
      </w:r>
      <w:proofErr w:type="spellEnd"/>
      <w:r>
        <w:t xml:space="preserve">), inhibidores de CYP 2D6 (como los inhibidores selectivos de la recaptura de serotonina, antidepresivos tricíclicos), </w:t>
      </w:r>
      <w:proofErr w:type="spellStart"/>
      <w:r>
        <w:t>Tiazida</w:t>
      </w:r>
      <w:proofErr w:type="spellEnd"/>
      <w:r>
        <w:t xml:space="preserve"> y diuréticos relacionados, inhibidores de la ECA y bloqueadores, de los canales de calcio, no mostraron efectos sobre la farmacocinética del </w:t>
      </w:r>
      <w:proofErr w:type="spellStart"/>
      <w:r>
        <w:t>Sildenafil</w:t>
      </w:r>
      <w:proofErr w:type="spellEnd"/>
      <w:r>
        <w:t>.</w:t>
      </w:r>
    </w:p>
    <w:p w:rsidR="00FF277F" w:rsidRDefault="00FF277F" w:rsidP="00FF277F">
      <w:pPr>
        <w:pStyle w:val="NormalWeb"/>
      </w:pPr>
      <w:r>
        <w:t>SOBREDOSIFICACION:</w:t>
      </w:r>
    </w:p>
    <w:p w:rsidR="00FF277F" w:rsidRDefault="00FF277F" w:rsidP="00FF277F">
      <w:pPr>
        <w:pStyle w:val="NormalWeb"/>
      </w:pPr>
      <w:r>
        <w:t xml:space="preserve">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w:t>
      </w:r>
      <w:proofErr w:type="spellStart"/>
      <w:r>
        <w:t>Sildenafil</w:t>
      </w:r>
      <w:proofErr w:type="spellEnd"/>
      <w:r>
        <w:t xml:space="preserve"> tiene gran afinidad por las proteínas plasmáticas y no se elimina en la orina.</w:t>
      </w:r>
    </w:p>
    <w:p w:rsidR="00FF277F" w:rsidRDefault="00FF277F" w:rsidP="00FF277F">
      <w:pPr>
        <w:pStyle w:val="NormalWeb"/>
      </w:pPr>
      <w:r>
        <w:t>En caso de sobredosis o ingesta accidental, consultar al Servicio de Toxicología del Hospital de EMERGENCIAS MEDICAS Tel.: 220-418 o el 204-800 (</w:t>
      </w:r>
      <w:proofErr w:type="spellStart"/>
      <w:r>
        <w:t>int</w:t>
      </w:r>
      <w:proofErr w:type="spellEnd"/>
      <w:r>
        <w:t>. 011).</w:t>
      </w:r>
    </w:p>
    <w:p w:rsidR="00FF277F" w:rsidRDefault="00FF277F" w:rsidP="00FF277F">
      <w:pPr>
        <w:pStyle w:val="NormalWeb"/>
      </w:pPr>
      <w:r>
        <w:t>RESTRICCIONES DE USO:</w:t>
      </w:r>
    </w:p>
    <w:p w:rsidR="00FF277F" w:rsidRDefault="00FF277F" w:rsidP="00FF277F">
      <w:pPr>
        <w:pStyle w:val="NormalWeb"/>
      </w:pPr>
      <w:r>
        <w:t>No es recomendable el uso de medicamentos para el tratamiento de la disfunción eréctil en hombres cuando no sea aconsejable practicar actividad sexual.</w:t>
      </w:r>
    </w:p>
    <w:p w:rsidR="00FF277F" w:rsidRDefault="00FF277F" w:rsidP="00FF277F">
      <w:pPr>
        <w:pStyle w:val="NormalWeb"/>
      </w:pPr>
      <w:r>
        <w:t>CONSERVACION:</w:t>
      </w:r>
    </w:p>
    <w:p w:rsidR="00FF277F" w:rsidRDefault="00FF277F" w:rsidP="00FF277F">
      <w:pPr>
        <w:pStyle w:val="NormalWeb"/>
      </w:pPr>
      <w:r>
        <w:t>Almacenar a temperatura entre 15° y 30 °C.</w:t>
      </w:r>
    </w:p>
    <w:p w:rsidR="00FF277F" w:rsidRDefault="00FF277F" w:rsidP="00FF277F">
      <w:pPr>
        <w:pStyle w:val="NormalWeb"/>
      </w:pPr>
      <w:r>
        <w:t>PRESENTACIONES:</w:t>
      </w:r>
    </w:p>
    <w:p w:rsidR="00FF277F" w:rsidRDefault="00FF277F" w:rsidP="00FF277F">
      <w:pPr>
        <w:pStyle w:val="NormalWeb"/>
      </w:pPr>
      <w:r>
        <w:t xml:space="preserve">PRAMIL® 25 </w:t>
      </w:r>
    </w:p>
    <w:p w:rsidR="00FF277F" w:rsidRDefault="00FF277F" w:rsidP="00FF277F">
      <w:pPr>
        <w:pStyle w:val="NormalWeb"/>
      </w:pPr>
      <w:r>
        <w:t>Caja conteniendo 1/2/10/20 comprimidos recubiertos.</w:t>
      </w:r>
    </w:p>
    <w:p w:rsidR="00FF277F" w:rsidRDefault="00FF277F" w:rsidP="00FF277F">
      <w:pPr>
        <w:pStyle w:val="NormalWeb"/>
      </w:pPr>
      <w:r>
        <w:lastRenderedPageBreak/>
        <w:t>Caja conteniendo 1/2/10/20 comprimidos masticables.</w:t>
      </w:r>
    </w:p>
    <w:p w:rsidR="00FF277F" w:rsidRDefault="00FF277F" w:rsidP="00FF277F">
      <w:pPr>
        <w:pStyle w:val="NormalWeb"/>
      </w:pPr>
      <w:r>
        <w:t xml:space="preserve">PRAMIL® </w:t>
      </w:r>
    </w:p>
    <w:p w:rsidR="00FF277F" w:rsidRDefault="00FF277F" w:rsidP="00FF277F">
      <w:pPr>
        <w:pStyle w:val="NormalWeb"/>
      </w:pPr>
      <w:r>
        <w:t>Caja conteniendo 1/2/4/10/20 comprimidos recubiertos.</w:t>
      </w:r>
    </w:p>
    <w:p w:rsidR="00FF277F" w:rsidRDefault="00FF277F" w:rsidP="00FF277F">
      <w:pPr>
        <w:pStyle w:val="NormalWeb"/>
      </w:pPr>
      <w:r>
        <w:t>Caja conteniendo 1/2/4/10/20 comprimidos masticables.</w:t>
      </w:r>
    </w:p>
    <w:p w:rsidR="00FF277F" w:rsidRDefault="00FF277F" w:rsidP="00FF277F">
      <w:pPr>
        <w:pStyle w:val="NormalWeb"/>
      </w:pPr>
      <w:r>
        <w:t xml:space="preserve">PRAMIL® 75 </w:t>
      </w:r>
    </w:p>
    <w:p w:rsidR="00FF277F" w:rsidRDefault="00FF277F" w:rsidP="00FF277F">
      <w:pPr>
        <w:pStyle w:val="NormalWeb"/>
      </w:pPr>
      <w:r>
        <w:t>Caja conteniendo 1/2/10/20/30 comprimidos recubiertos.</w:t>
      </w:r>
    </w:p>
    <w:p w:rsidR="00FF277F" w:rsidRDefault="00FF277F" w:rsidP="00FF277F">
      <w:pPr>
        <w:pStyle w:val="NormalWeb"/>
      </w:pPr>
      <w:r>
        <w:t>Caja conteniendo 1/2/10/20 comprimidos masticables.</w:t>
      </w:r>
    </w:p>
    <w:p w:rsidR="00FF277F" w:rsidRDefault="00FF277F" w:rsidP="00FF277F">
      <w:pPr>
        <w:pStyle w:val="NormalWeb"/>
      </w:pPr>
      <w:r>
        <w:t>PRAMIL® FORTE</w:t>
      </w:r>
    </w:p>
    <w:p w:rsidR="00FF277F" w:rsidRDefault="00FF277F" w:rsidP="00FF277F">
      <w:pPr>
        <w:pStyle w:val="NormalWeb"/>
      </w:pPr>
      <w:r>
        <w:t>Caja conteniendo 1/2/10/20/30 comprimidos recubiertos.</w:t>
      </w:r>
    </w:p>
    <w:p w:rsidR="00FF277F" w:rsidRDefault="00FF277F" w:rsidP="00FF277F">
      <w:pPr>
        <w:pStyle w:val="NormalWeb"/>
      </w:pPr>
      <w:r>
        <w:t xml:space="preserve">Estos medicamentos deben ser usados únicamente por prescripción médica y no podrán repetirse sin nueva indicación del facultativo. </w:t>
      </w:r>
    </w:p>
    <w:p w:rsidR="00FF277F" w:rsidRDefault="00FF277F" w:rsidP="00FF277F">
      <w:pPr>
        <w:pStyle w:val="NormalWeb"/>
      </w:pPr>
      <w:r>
        <w:t>En caso de uso de estos medicamentos sin prescripción médica, la ocurrencia de efectos adversos e indeseables será de exclusiva responsabilidad de quien lo consuma.</w:t>
      </w:r>
    </w:p>
    <w:p w:rsidR="00FF277F" w:rsidRDefault="00FF277F" w:rsidP="00FF277F">
      <w:pPr>
        <w:pStyle w:val="NormalWeb"/>
      </w:pPr>
      <w:r>
        <w:t>Si Ud. es deportista y está sometido a control de doping, no consuma estos productos sin consultar a su médico.</w:t>
      </w:r>
    </w:p>
    <w:p w:rsidR="00FF277F" w:rsidRDefault="00FF277F" w:rsidP="00FF277F">
      <w:pPr>
        <w:pStyle w:val="NormalWeb"/>
      </w:pPr>
      <w:r>
        <w:t>Director Técnico: Q.F. Laura Ramírez</w:t>
      </w:r>
    </w:p>
    <w:p w:rsidR="00FF277F" w:rsidRDefault="00FF277F" w:rsidP="00FF277F">
      <w:pPr>
        <w:pStyle w:val="NormalWeb"/>
      </w:pPr>
      <w:r>
        <w:t>Reg. Prof. Nº 4.142</w:t>
      </w:r>
    </w:p>
    <w:p w:rsidR="00FF277F" w:rsidRDefault="00FF277F" w:rsidP="00FF277F">
      <w:pPr>
        <w:pStyle w:val="NormalWeb"/>
      </w:pPr>
      <w:r>
        <w:t>Autorizado por D.N.V.S. del M.S.P. y B.S.</w:t>
      </w:r>
    </w:p>
    <w:p w:rsidR="00FF277F" w:rsidRDefault="00FF277F" w:rsidP="00FF277F">
      <w:pPr>
        <w:pStyle w:val="NormalWeb"/>
      </w:pPr>
      <w:r>
        <w:t>MANTENER FUERA DEL ALCANCE DE LOS NIÑOS</w:t>
      </w:r>
    </w:p>
    <w:p w:rsidR="007C3252" w:rsidRDefault="007C3252"/>
    <w:sectPr w:rsidR="007C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F"/>
    <w:rsid w:val="007C3252"/>
    <w:rsid w:val="00933C1C"/>
    <w:rsid w:val="00A82013"/>
    <w:rsid w:val="00C22FA3"/>
    <w:rsid w:val="00FF27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61A2-95DC-42EA-B609-7487297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277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2020-12-10T19:28:00Z</dcterms:created>
  <dcterms:modified xsi:type="dcterms:W3CDTF">2020-12-10T19:28:00Z</dcterms:modified>
</cp:coreProperties>
</file>