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610D9">
        <w:rPr>
          <w:rFonts w:ascii="Times New Roman" w:hAnsi="Times New Roman" w:cs="Times New Roman"/>
          <w:b/>
          <w:bCs/>
          <w:sz w:val="24"/>
          <w:szCs w:val="24"/>
        </w:rPr>
        <w:t>SECUROL® 10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ESCITALOPRAM 10mg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Escitalopram (Equiv. a 12,8 mg de Escitalopram oxalato)............................................10 mg.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Excipientes.....................................................................................................................c.s.p.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SECUROL® 20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ESCITALOPRAM 20mg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Escitalopram (Equiv. a 25,54 mg de Escitalopram oxalato)..........................................20 mg.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Excipientes ....................................................................................................................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c.s.p.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Antidepresivo.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Propiedades farmacodinámicas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Grupo farmacoterapéutico: antidepresivos, inhibidores selectivos de la recaptación de la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serotonina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. Código ATC: N 06 AB 10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Mecanismo de acción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Escitalopram es un inhibidor selectivo de la recaptación de la serotonina (5-HT), con una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alta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afinidad por el sitio primario de unión. También se une a un sitio alostérico del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transportador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de la serotonina, con una afinidad 1000 veces menor.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Escitalopram posee una baja o nula afinidad por una serie de receptores como el 5-HT1A, 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5-HT2, los receptores dopaminérgicos D1 y D2, el a1, el a2, los ß- adrenérgicos, los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histaminérgicos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H1, los colinérgicos muscarínicos, los benzodiazepínicos y los opioides.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La inhibición de la recaptación de la 5-HT es el único mecanismo de acción probable que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explique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los efectos farmacológicos y clínicos de escitalopram.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Propiedades farmacocinéticas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10D9">
        <w:rPr>
          <w:rFonts w:ascii="Times New Roman" w:hAnsi="Times New Roman" w:cs="Times New Roman"/>
          <w:i/>
          <w:iCs/>
          <w:sz w:val="24"/>
          <w:szCs w:val="24"/>
        </w:rPr>
        <w:t>Absorción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La absorción es casi completa e independiente de la ingestión de alimentos. (El tiempo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medio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para alcanzar la concentración máxima (Tmax media) es de 4 horas tras dosis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múltiples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). Al igual que con citalopram racémico, la biodisponibilidad absoluta de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escitalopram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se espera que sea del 80% aproximadamente.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10D9">
        <w:rPr>
          <w:rFonts w:ascii="Times New Roman" w:hAnsi="Times New Roman" w:cs="Times New Roman"/>
          <w:i/>
          <w:iCs/>
          <w:sz w:val="24"/>
          <w:szCs w:val="24"/>
        </w:rPr>
        <w:t>Distribución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El volumen aparente de distribución (Vd</w:t>
      </w:r>
      <w:proofErr w:type="gramStart"/>
      <w:r w:rsidRPr="002610D9">
        <w:rPr>
          <w:rFonts w:ascii="Times New Roman" w:hAnsi="Times New Roman" w:cs="Times New Roman"/>
          <w:sz w:val="24"/>
          <w:szCs w:val="24"/>
        </w:rPr>
        <w:t>,ß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/F) tras la administración oral es de 12 a 26 L/kg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aproximadamente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. La unión del escitalopram y de sus metabolitos principales a las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proteínas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plasmáticas es inferior al 80%.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Elaborado por QUIMFA S.A.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Primer Presidente Nº 1736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Teléf.: (021) 289 4000 R.A.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Asunción - Paraguay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Cod.: 4015182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QUIMFA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Venta Bajo Receta Comprimidos Recubiertos</w:t>
      </w:r>
    </w:p>
    <w:p w:rsidR="00EC5EB3" w:rsidRPr="002610D9" w:rsidRDefault="002610D9" w:rsidP="002610D9">
      <w:pPr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Clasificación de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b/>
          <w:bCs/>
          <w:sz w:val="24"/>
          <w:szCs w:val="24"/>
        </w:rPr>
        <w:t>órganos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Frecuencia Reacciones Adversas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 del sistema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nervioso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Muy frecuente Cefalea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Insomnio, somnolencia, mareo,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parestesia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, temblor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Alteración del gusto, trastorno del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sueño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, sincope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Rara Síndrome serotoninergico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No conocida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Discinesia, trastorno del movimiento,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convulsión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, inquietud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psicomotora/acatisia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oculares Poco frecuente Midriasis, alteración visual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del oído y del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laberinto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Acufenos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cardiacos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Taquicardia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Rara Bradicardia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No conocida Intervalo QT del electrocardiograma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prolongado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, arritmia ventricular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incluyendo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torsade de pointes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vasculares No conocida Hipotensión ortostatica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respiratorios,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torácicos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y mediastínicos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Sinusitis, bostezos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Epistaxis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gastrointestinales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Muy frecuente Náuseas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Diarrea, estreñimiento, vómitos, boca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seca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Hemorragias gastrointestinales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10D9">
        <w:rPr>
          <w:rFonts w:ascii="Times New Roman" w:hAnsi="Times New Roman" w:cs="Times New Roman"/>
          <w:sz w:val="24"/>
          <w:szCs w:val="24"/>
        </w:rPr>
        <w:t>incluida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hemorragia rectal)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hepatobiliares No conocida Hepatitis, prueba anormal de función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hepática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de la piel y del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tejido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subcutáneo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Sudoración aumentada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Urticaria, alopecia, erupción, prurito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No conocida Equimosis, angioedemas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musculoesquléticos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y del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tejido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conjuntivo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Artralgia, mialgia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renales y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urinarios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No conocida Retención urinaria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Edema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del aparato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reproductor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y de la mama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Hombres: trastorno de la eyaculación,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impotencia</w:t>
      </w:r>
      <w:proofErr w:type="gramEnd"/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Poco frecuente Mujeres: metrorragia, menorragia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No conocida Galactorrea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Hombres: priapismo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Trastornos generales y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alteraciones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en el lugar de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administración</w:t>
      </w:r>
      <w:proofErr w:type="gramEnd"/>
    </w:p>
    <w:p w:rsidR="002610D9" w:rsidRPr="002610D9" w:rsidRDefault="002610D9" w:rsidP="002610D9">
      <w:pPr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Frecuente Fatiga, pirexia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* Estos acontecimientos se han notificado para la clase terapéutica de los ISRS.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Tambien se pueden dar casos de ideas suicidas y conductas suicidas durante el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tratamiento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con escitalopram o poco después de la discontinuación del tratamiento (Ver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Precauciones y Advertencias).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Prolongación del intervalo QT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Se puede dar casos de prolongación del intervalo QT y de arritmias ventriculares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incluyendo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torsade de pointes, predominantemente en mujeres, pacientes que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presentaban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hipopotasemia o en los que existía previamente un intervalo QT alargado 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algún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tipo de patología cardiaca (Ver Contraindicaciones, Precauciones y Advertencias,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Interacción con Medicamentos y Alimentos, Sobredosis y Mecanismo de Acción y Datos de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Farmacocinética).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Efectos de clase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En pacientes de 50 o más años de edad, indican un aumento del riesgo de fracturas óseas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pacientes tratados con ISRS y ATC. El mecanismo subyacente de este riesgo es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desconocido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0D9">
        <w:rPr>
          <w:rFonts w:ascii="Times New Roman" w:hAnsi="Times New Roman" w:cs="Times New Roman"/>
          <w:b/>
          <w:bCs/>
          <w:sz w:val="24"/>
          <w:szCs w:val="24"/>
        </w:rPr>
        <w:t>Síntomas de retirada durante la suspensión del tratamiento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La suspensión del tratamiento con ISRS/IRSN (particularmente si se realiza de forma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brusca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), frecuentemente, conlleva síntomas de retirada. Las reacciones más comúnmente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mareo, alteraciones sensoriales (incluyendo parestesias y sensaciones de shock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eléctrico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), alteraciones del sueño (incluyendo insomnio y sueños intensos), agitación o</w:t>
      </w:r>
    </w:p>
    <w:p w:rsidR="002610D9" w:rsidRPr="002610D9" w:rsidRDefault="002610D9" w:rsidP="002610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ansiedad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>, náuseas y/o vómitos, temblor, confusión, sudoración, cefalea,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En general, estos efectos son de leves a moderados y autolimitados, sin embargo, en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algunos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pacientes pueden ser graves y/o prolongados.</w:t>
      </w:r>
    </w:p>
    <w:p w:rsidR="002610D9" w:rsidRPr="002610D9" w:rsidRDefault="002610D9" w:rsidP="00261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0D9">
        <w:rPr>
          <w:rFonts w:ascii="Times New Roman" w:hAnsi="Times New Roman" w:cs="Times New Roman"/>
          <w:sz w:val="24"/>
          <w:szCs w:val="24"/>
        </w:rPr>
        <w:t>Por tanto, se recomienda que reducir la dosis gradualmente al suspender el tratamiento</w:t>
      </w:r>
    </w:p>
    <w:p w:rsidR="002610D9" w:rsidRPr="002610D9" w:rsidRDefault="002610D9" w:rsidP="002610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10D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2610D9">
        <w:rPr>
          <w:rFonts w:ascii="Times New Roman" w:hAnsi="Times New Roman" w:cs="Times New Roman"/>
          <w:sz w:val="24"/>
          <w:szCs w:val="24"/>
        </w:rPr>
        <w:t xml:space="preserve"> Escitalopram (Ver Posología y Modo de Uso y Precauciones y Advertencias).</w:t>
      </w:r>
    </w:p>
    <w:bookmarkEnd w:id="0"/>
    <w:p w:rsidR="002610D9" w:rsidRDefault="002610D9" w:rsidP="002610D9">
      <w:pPr>
        <w:rPr>
          <w:rFonts w:ascii="ArialMT" w:hAnsi="ArialMT" w:cs="ArialMT"/>
          <w:sz w:val="10"/>
          <w:szCs w:val="10"/>
        </w:rPr>
      </w:pPr>
    </w:p>
    <w:p w:rsidR="002610D9" w:rsidRPr="002610D9" w:rsidRDefault="002610D9" w:rsidP="002610D9"/>
    <w:sectPr w:rsidR="002610D9" w:rsidRPr="0026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2610D9"/>
    <w:rsid w:val="003809D2"/>
    <w:rsid w:val="00432A45"/>
    <w:rsid w:val="00442EFF"/>
    <w:rsid w:val="0059601C"/>
    <w:rsid w:val="006A3A06"/>
    <w:rsid w:val="006C5743"/>
    <w:rsid w:val="007A173C"/>
    <w:rsid w:val="009E4836"/>
    <w:rsid w:val="00A0784E"/>
    <w:rsid w:val="00B37F68"/>
    <w:rsid w:val="00BD2021"/>
    <w:rsid w:val="00BE5076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2020-12-10T20:24:00Z</dcterms:created>
  <dcterms:modified xsi:type="dcterms:W3CDTF">2020-12-10T20:24:00Z</dcterms:modified>
</cp:coreProperties>
</file>