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A6BC" w14:textId="77777777" w:rsidR="006B7B53" w:rsidRDefault="006B7B53" w:rsidP="006B7B53">
      <w:pPr>
        <w:pStyle w:val="NormalWeb"/>
      </w:pPr>
      <w:r>
        <w:t>AMOXIPEN® IBL DUO</w:t>
      </w:r>
    </w:p>
    <w:p w14:paraId="09F83AAA" w14:textId="77777777" w:rsidR="006B7B53" w:rsidRDefault="006B7B53" w:rsidP="006B7B53">
      <w:pPr>
        <w:pStyle w:val="NormalWeb"/>
      </w:pPr>
      <w:r>
        <w:t>AMOXICILINA – SULBACTAM</w:t>
      </w:r>
    </w:p>
    <w:p w14:paraId="12EF405C" w14:textId="77777777" w:rsidR="006B7B53" w:rsidRDefault="006B7B53" w:rsidP="006B7B53">
      <w:pPr>
        <w:pStyle w:val="NormalWeb"/>
      </w:pPr>
      <w:r>
        <w:t>Venta Bajo Receta Suspensión Extemporánea / Comprimidos Recubiertos</w:t>
      </w:r>
    </w:p>
    <w:p w14:paraId="7F84D086" w14:textId="77777777" w:rsidR="006B7B53" w:rsidRDefault="006B7B53" w:rsidP="006B7B53">
      <w:pPr>
        <w:pStyle w:val="NormalWeb"/>
      </w:pPr>
      <w:r>
        <w:t>Industria Paraguaya V.A.: Oral</w:t>
      </w:r>
    </w:p>
    <w:p w14:paraId="2540B358" w14:textId="77777777" w:rsidR="006B7B53" w:rsidRDefault="006B7B53" w:rsidP="006B7B53">
      <w:pPr>
        <w:pStyle w:val="NormalWeb"/>
      </w:pPr>
      <w:r>
        <w:t>FORMULA:</w:t>
      </w:r>
    </w:p>
    <w:p w14:paraId="3E2D0AD0" w14:textId="77777777" w:rsidR="006B7B53" w:rsidRDefault="006B7B53" w:rsidP="006B7B53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de suspensión reconstituida contiene:</w:t>
      </w:r>
    </w:p>
    <w:p w14:paraId="6104B137" w14:textId="77777777" w:rsidR="006B7B53" w:rsidRDefault="006B7B53" w:rsidP="006B7B53">
      <w:pPr>
        <w:pStyle w:val="NormalWeb"/>
      </w:pPr>
      <w:r>
        <w:t xml:space="preserve">Amoxicilina (Amoxicilina </w:t>
      </w:r>
      <w:proofErr w:type="gramStart"/>
      <w:r>
        <w:t>Trihidrato)......................................................................................</w:t>
      </w:r>
      <w:proofErr w:type="gramEnd"/>
      <w:r>
        <w:t>1000 mg.</w:t>
      </w:r>
    </w:p>
    <w:p w14:paraId="0C0F7B27" w14:textId="77777777" w:rsidR="006B7B53" w:rsidRDefault="006B7B53" w:rsidP="006B7B53">
      <w:pPr>
        <w:pStyle w:val="NormalWeb"/>
      </w:pPr>
      <w:r>
        <w:t xml:space="preserve">Sulbactam (Sulbactam </w:t>
      </w:r>
      <w:proofErr w:type="gramStart"/>
      <w:r>
        <w:t>Pivoxil)..............................................................................................</w:t>
      </w:r>
      <w:proofErr w:type="gramEnd"/>
      <w:r>
        <w:t xml:space="preserve"> 250 mg.</w:t>
      </w:r>
    </w:p>
    <w:p w14:paraId="48F4376C" w14:textId="77777777" w:rsidR="006B7B53" w:rsidRDefault="006B7B53" w:rsidP="006B7B53">
      <w:pPr>
        <w:pStyle w:val="NormalWeb"/>
      </w:pPr>
      <w:r>
        <w:t xml:space="preserve">Excipientes...................................................................................................................................c.s.p. </w:t>
      </w:r>
    </w:p>
    <w:p w14:paraId="5BFF032C" w14:textId="77777777" w:rsidR="006B7B53" w:rsidRDefault="006B7B53" w:rsidP="006B7B53">
      <w:pPr>
        <w:pStyle w:val="NormalWeb"/>
      </w:pPr>
      <w:r>
        <w:t>FORMULA:</w:t>
      </w:r>
    </w:p>
    <w:p w14:paraId="6129A020" w14:textId="77777777" w:rsidR="006B7B53" w:rsidRDefault="006B7B53" w:rsidP="006B7B53">
      <w:pPr>
        <w:pStyle w:val="NormalWeb"/>
      </w:pPr>
      <w:r>
        <w:t>Cada comprimido recubierto contiene:</w:t>
      </w:r>
    </w:p>
    <w:p w14:paraId="14F0D01B" w14:textId="77777777" w:rsidR="006B7B53" w:rsidRDefault="006B7B53" w:rsidP="006B7B53">
      <w:pPr>
        <w:pStyle w:val="NormalWeb"/>
      </w:pPr>
      <w:r>
        <w:t xml:space="preserve">Amoxicilina (Amoxicilina </w:t>
      </w:r>
      <w:proofErr w:type="gramStart"/>
      <w:r>
        <w:t>Trihidrato).........................................................................................</w:t>
      </w:r>
      <w:proofErr w:type="gramEnd"/>
      <w:r>
        <w:t>875 mg.</w:t>
      </w:r>
    </w:p>
    <w:p w14:paraId="756C6589" w14:textId="77777777" w:rsidR="006B7B53" w:rsidRDefault="006B7B53" w:rsidP="006B7B53">
      <w:pPr>
        <w:pStyle w:val="NormalWeb"/>
      </w:pPr>
      <w:r>
        <w:t xml:space="preserve">Sulbactam (Sulbactam </w:t>
      </w:r>
      <w:proofErr w:type="gramStart"/>
      <w:r>
        <w:t>Pivoxil)................................................................................................</w:t>
      </w:r>
      <w:proofErr w:type="gramEnd"/>
      <w:r>
        <w:t>125 mg.</w:t>
      </w:r>
    </w:p>
    <w:p w14:paraId="5A802EC8" w14:textId="77777777" w:rsidR="006B7B53" w:rsidRDefault="006B7B53" w:rsidP="006B7B53">
      <w:pPr>
        <w:pStyle w:val="NormalWeb"/>
      </w:pPr>
      <w:r>
        <w:t xml:space="preserve">Excipientes...................................................................................................................................c.s.p. </w:t>
      </w:r>
    </w:p>
    <w:p w14:paraId="028F8BCC" w14:textId="77777777" w:rsidR="006B7B53" w:rsidRDefault="006B7B53" w:rsidP="006B7B53">
      <w:pPr>
        <w:pStyle w:val="NormalWeb"/>
      </w:pPr>
      <w:r>
        <w:t>ACCION TERAPEUTICA:</w:t>
      </w:r>
    </w:p>
    <w:p w14:paraId="57F2BC1E" w14:textId="77777777" w:rsidR="006B7B53" w:rsidRDefault="006B7B53" w:rsidP="006B7B53">
      <w:pPr>
        <w:pStyle w:val="NormalWeb"/>
      </w:pPr>
      <w:r>
        <w:t xml:space="preserve">Antibiótico bactericida. </w:t>
      </w:r>
    </w:p>
    <w:p w14:paraId="1627AEC8" w14:textId="77777777" w:rsidR="006B7B53" w:rsidRDefault="006B7B53" w:rsidP="006B7B53">
      <w:pPr>
        <w:pStyle w:val="NormalWeb"/>
      </w:pPr>
      <w:r>
        <w:t>MECANISMO DE ACCION Y DATOS FARMACOCINETICOS:</w:t>
      </w:r>
    </w:p>
    <w:p w14:paraId="0B68FE02" w14:textId="77777777" w:rsidR="006B7B53" w:rsidRDefault="006B7B53" w:rsidP="006B7B53">
      <w:pPr>
        <w:pStyle w:val="NormalWeb"/>
      </w:pPr>
      <w:r>
        <w:t xml:space="preserve">Amoxicilina: Es una penicilina semisintética derivada del núcleo 6-aminopenicilánico, de acción bactericida, que actúa durante el período de multiplicación bacteriana inhibiendo la biosíntesis del </w:t>
      </w:r>
      <w:proofErr w:type="spellStart"/>
      <w:r>
        <w:t>mucopéptido</w:t>
      </w:r>
      <w:proofErr w:type="spellEnd"/>
      <w:r>
        <w:t xml:space="preserve"> de la pared celular, </w:t>
      </w:r>
      <w:proofErr w:type="spellStart"/>
      <w:r>
        <w:t>adsorbiendose</w:t>
      </w:r>
      <w:proofErr w:type="spellEnd"/>
      <w:r>
        <w:t xml:space="preserve"> un 80% de la dosis administrada por vía oral, y su absorción no es interferida por la presencia de alimentos en el estómago. Las dosis usuales producen concentraciones terapéuticas en suero y diversos líquidos del organismo. Penetra en el líquido cefalorraquídeo cuando las meninges están inflamadas. Se elimina fundamentalmente por vía renal, en forma biológicamente activa, alcanzando en orina concentraciones superiores a las hemáticas. Se une a las proteínas plasmáticas en un 17%.</w:t>
      </w:r>
    </w:p>
    <w:p w14:paraId="55E553EA" w14:textId="77777777" w:rsidR="006B7B53" w:rsidRDefault="006B7B53" w:rsidP="006B7B53">
      <w:pPr>
        <w:pStyle w:val="NormalWeb"/>
      </w:pPr>
      <w:r>
        <w:t xml:space="preserve">Sulbactam: Es un agente inhibidor de las betalactamasas que se ha asociado a diferentes antibióticos betalactámicos (ampicilina, Amoxicilina, cefoperazona) para permitir el tratamiento de infecciones por diferentes microorganismos grampositivos y gramnegativos productores de la enzima </w:t>
      </w:r>
      <w:proofErr w:type="spellStart"/>
      <w:r>
        <w:t>hidrolitica</w:t>
      </w:r>
      <w:proofErr w:type="spellEnd"/>
      <w:r>
        <w:t xml:space="preserve"> e inactiva de las </w:t>
      </w:r>
      <w:proofErr w:type="spellStart"/>
      <w:r>
        <w:t>aminopenicilinas</w:t>
      </w:r>
      <w:proofErr w:type="spellEnd"/>
      <w:r>
        <w:t xml:space="preserve">. Tanto el Sulbactam como el ácido clavulánico son inhibidores suicidas que se unen a las penicilinasas o betalactamasas para inactivarlas, permitiendo recuperar la sensibilidad de estas penicilinas de amplio espectro. Esta asociación permite combatir eficazmente diferentes tipos de bacterias grampositivas o gramnegativas productoras o no de </w:t>
      </w:r>
      <w:proofErr w:type="spellStart"/>
      <w:r>
        <w:t>lactamasas</w:t>
      </w:r>
      <w:proofErr w:type="spellEnd"/>
      <w:r>
        <w:t xml:space="preserve">. La Amoxicilina tiene una excelente absorción digestiva (75-90%) y no es afectada por los alimentos, posee una baja ligadura </w:t>
      </w:r>
      <w:proofErr w:type="spellStart"/>
      <w:r>
        <w:t>proteíca</w:t>
      </w:r>
      <w:proofErr w:type="spellEnd"/>
      <w:r>
        <w:t xml:space="preserve"> (20%) y se metaboliza en el hígado </w:t>
      </w:r>
      <w:proofErr w:type="spellStart"/>
      <w:r>
        <w:t>excretandose</w:t>
      </w:r>
      <w:proofErr w:type="spellEnd"/>
      <w:r>
        <w:t xml:space="preserve"> un 50-70% en forma inalterada por el riñón. El Sulbactam tiene una buena biodisponibilidad por vía parenteral, aunque su absorción gastrointestinal no es completa, posee un perfil farmacocinético similar al de la Amoxicilina y se elimina por la orina (75-80%). La administración de </w:t>
      </w:r>
      <w:r>
        <w:lastRenderedPageBreak/>
        <w:t>Amoxicilina + Sulbactam muestra una buena biodisponibilidad con concentraciones plasmáticas que cubren la mayoría de los gérmenes más frecuentes.</w:t>
      </w:r>
    </w:p>
    <w:p w14:paraId="59D112E5" w14:textId="77777777" w:rsidR="006B7B53" w:rsidRDefault="006B7B53" w:rsidP="006B7B53">
      <w:pPr>
        <w:pStyle w:val="NormalWeb"/>
      </w:pPr>
      <w:r>
        <w:t>INDICACIONES TERAPEUTICAS:</w:t>
      </w:r>
    </w:p>
    <w:p w14:paraId="44CEC1B1" w14:textId="77777777" w:rsidR="006B7B53" w:rsidRDefault="006B7B53" w:rsidP="006B7B53">
      <w:pPr>
        <w:pStyle w:val="NormalWeb"/>
      </w:pPr>
      <w:r>
        <w:t xml:space="preserve">Infecciones de diversa localización (respiratorias, genitourinarias, piel y tejidos, </w:t>
      </w:r>
      <w:proofErr w:type="spellStart"/>
      <w:r>
        <w:t>gastroenterobiliares</w:t>
      </w:r>
      <w:proofErr w:type="spellEnd"/>
      <w:r>
        <w:t>, quirúrgicas y obstétricas) por gérmenes grampositivos y gramnegativos.</w:t>
      </w:r>
    </w:p>
    <w:p w14:paraId="4AE98FB9" w14:textId="77777777" w:rsidR="006B7B53" w:rsidRDefault="006B7B53" w:rsidP="006B7B53">
      <w:pPr>
        <w:pStyle w:val="NormalWeb"/>
      </w:pPr>
      <w:r>
        <w:t>POSOLOGIA:</w:t>
      </w:r>
    </w:p>
    <w:p w14:paraId="7D3B7FAC" w14:textId="77777777" w:rsidR="006B7B53" w:rsidRDefault="006B7B53" w:rsidP="006B7B53">
      <w:pPr>
        <w:pStyle w:val="NormalWeb"/>
      </w:pPr>
      <w:r>
        <w:t>La dosis se adaptará según criterio médico al cuadro del paciente.</w:t>
      </w:r>
    </w:p>
    <w:p w14:paraId="6E9DF705" w14:textId="77777777" w:rsidR="006B7B53" w:rsidRDefault="006B7B53" w:rsidP="006B7B53">
      <w:pPr>
        <w:pStyle w:val="NormalWeb"/>
      </w:pPr>
      <w:r>
        <w:t>Comprimidos: La posología media de orientación para adultos y niños mayores de 12 años se aconseja 1 comprimido cada 12 horas.</w:t>
      </w:r>
    </w:p>
    <w:p w14:paraId="3D1A7FAA" w14:textId="77777777" w:rsidR="006B7B53" w:rsidRDefault="006B7B53" w:rsidP="006B7B53">
      <w:pPr>
        <w:pStyle w:val="NormalWeb"/>
      </w:pPr>
      <w:r>
        <w:t>Suspensión Extemporánea:</w:t>
      </w:r>
    </w:p>
    <w:p w14:paraId="3CA0788C" w14:textId="77777777" w:rsidR="006B7B53" w:rsidRDefault="006B7B53" w:rsidP="006B7B53">
      <w:pPr>
        <w:pStyle w:val="NormalWeb"/>
      </w:pPr>
      <w:r>
        <w:t>Niños hasta 20 kg de peso corporal:</w:t>
      </w:r>
    </w:p>
    <w:p w14:paraId="733D59E3" w14:textId="77777777" w:rsidR="006B7B53" w:rsidRDefault="006B7B53" w:rsidP="006B7B53">
      <w:pPr>
        <w:pStyle w:val="NormalWeb"/>
      </w:pPr>
      <w:r>
        <w:t xml:space="preserve">Niños de 21 a 30 kg de peso: 3 a 5 </w:t>
      </w:r>
      <w:proofErr w:type="spellStart"/>
      <w:r>
        <w:t>mL</w:t>
      </w:r>
      <w:proofErr w:type="spellEnd"/>
      <w:r>
        <w:t xml:space="preserve"> cada 12 horas.</w:t>
      </w:r>
    </w:p>
    <w:p w14:paraId="13AE612A" w14:textId="77777777" w:rsidR="006B7B53" w:rsidRDefault="006B7B53" w:rsidP="006B7B53">
      <w:pPr>
        <w:pStyle w:val="NormalWeb"/>
      </w:pPr>
      <w:r>
        <w:t xml:space="preserve">Niños de más de 30 kg y adultos con dificultad para la deglución de comprimidos: 5 </w:t>
      </w:r>
      <w:proofErr w:type="spellStart"/>
      <w:r>
        <w:t>mL</w:t>
      </w:r>
      <w:proofErr w:type="spellEnd"/>
      <w:r>
        <w:t xml:space="preserve"> cada 12 horas. </w:t>
      </w:r>
    </w:p>
    <w:p w14:paraId="23D239F0" w14:textId="77777777" w:rsidR="006B7B53" w:rsidRDefault="006B7B53" w:rsidP="006B7B53">
      <w:pPr>
        <w:pStyle w:val="NormalWeb"/>
      </w:pPr>
      <w:r>
        <w:t>Pacientes con insuficiencia renal</w:t>
      </w:r>
    </w:p>
    <w:p w14:paraId="53057012" w14:textId="77777777" w:rsidR="006B7B53" w:rsidRDefault="006B7B53" w:rsidP="006B7B53">
      <w:pPr>
        <w:pStyle w:val="NormalWeb"/>
      </w:pPr>
      <w:proofErr w:type="gramStart"/>
      <w:r>
        <w:t>Los pacientes con deterioro de la función renal normalmente no requiere</w:t>
      </w:r>
      <w:proofErr w:type="gramEnd"/>
      <w:r>
        <w:t xml:space="preserve"> una reducción de la dosis, excepto cuando la insuficiencia es severa. Para el caso de pacientes con insuficiencia renal en diálisis y cuando la dosis de </w:t>
      </w:r>
      <w:proofErr w:type="spellStart"/>
      <w:r>
        <w:t>Amoxipen</w:t>
      </w:r>
      <w:proofErr w:type="spellEnd"/>
      <w:r>
        <w:t xml:space="preserve"> IBL DUO Suspensión Extemporánea se superponga o esté muy cerca a la diálisis, se recomienda su administración, luego de la misma. </w:t>
      </w:r>
    </w:p>
    <w:p w14:paraId="12A9521C" w14:textId="77777777" w:rsidR="006B7B53" w:rsidRDefault="006B7B53" w:rsidP="006B7B53">
      <w:pPr>
        <w:pStyle w:val="NormalWeb"/>
      </w:pPr>
      <w:r>
        <w:t>CONTRAINDICACIONES:</w:t>
      </w:r>
    </w:p>
    <w:p w14:paraId="04BFC169" w14:textId="77777777" w:rsidR="006B7B53" w:rsidRDefault="006B7B53" w:rsidP="006B7B53">
      <w:pPr>
        <w:pStyle w:val="NormalWeb"/>
      </w:pPr>
      <w:r>
        <w:t xml:space="preserve">Hipersensibilidad a la penicilina. Infecciones producidas por </w:t>
      </w:r>
      <w:proofErr w:type="spellStart"/>
      <w:r>
        <w:t>herpesvirus</w:t>
      </w:r>
      <w:proofErr w:type="spellEnd"/>
      <w:r>
        <w:t>. Pacientes con antecedentes de mononucleosis infecciosas, colitis ulcerosa y disfunción renal.</w:t>
      </w:r>
    </w:p>
    <w:p w14:paraId="4B6B8653" w14:textId="77777777" w:rsidR="006B7B53" w:rsidRDefault="006B7B53" w:rsidP="006B7B53">
      <w:pPr>
        <w:pStyle w:val="NormalWeb"/>
      </w:pPr>
      <w:r>
        <w:t>PRECAUCIONES Y ADVERTENCIAS:</w:t>
      </w:r>
    </w:p>
    <w:p w14:paraId="770D0C4B" w14:textId="77777777" w:rsidR="006B7B53" w:rsidRDefault="006B7B53" w:rsidP="006B7B53">
      <w:pPr>
        <w:pStyle w:val="NormalWeb"/>
      </w:pPr>
      <w:r>
        <w:t>Se han observado reacciones de hipersensibilidad graves y en ocasiones fatales (anafilaxia) en pacientes tratados con antibióticos betalactámicos. Estas reacciones suelen ocurrir en individuos con antecedentes de hipersensibilidad a las penicilinas. Si ocurriera una reacción alérgica, se interrumpirá el tratamiento y se instaurará un tratamiento de soporte. Las reacciones anafilácticas graves requieren tratamiento de urgencia inmediato con adrenalina. También puede ser necesario oxígeno, corticoides por vía intravenosa y mantener la permeabilidad de las vías aéreas, incluyendo intubación.</w:t>
      </w:r>
    </w:p>
    <w:p w14:paraId="4A9D99E6" w14:textId="77777777" w:rsidR="006B7B53" w:rsidRDefault="006B7B53" w:rsidP="006B7B53">
      <w:pPr>
        <w:pStyle w:val="NormalWeb"/>
      </w:pPr>
      <w:r>
        <w:t>Las reacciones de hipersensibilidad que se ven con más frecuencia las de naturaleza cutánea, que pertenecen a dos tipos distintos: Las erupciones cutáneas a todas las penicilinas (</w:t>
      </w:r>
      <w:proofErr w:type="spellStart"/>
      <w:r>
        <w:t>urticariformes</w:t>
      </w:r>
      <w:proofErr w:type="spellEnd"/>
      <w:r>
        <w:t xml:space="preserve">: Aparecen a los pocos días de iniciado el tratamiento y van con frecuencia asociadas a otros signos y síntomas de hipersensibilidad), y un tipo especial que toma la forma de erupción eritematosa o </w:t>
      </w:r>
      <w:proofErr w:type="spellStart"/>
      <w:r>
        <w:t>maculopapulosa</w:t>
      </w:r>
      <w:proofErr w:type="spellEnd"/>
      <w:r>
        <w:t xml:space="preserve">, que en la mayoría de los casos parece no ser de naturaleza inmunológica. En muy raros casos, las erupciones son del tipo de la dermatitis exfoliativa o eritema significativamente en ciertas enfermedades virales, especialmente mononucleosis, y en pacientes con hiperuricemia tratados con </w:t>
      </w:r>
      <w:proofErr w:type="spellStart"/>
      <w:r>
        <w:t>Allopurinol</w:t>
      </w:r>
      <w:proofErr w:type="spellEnd"/>
      <w:r>
        <w:t xml:space="preserve">. Es prudente evitar el uso de </w:t>
      </w:r>
      <w:proofErr w:type="spellStart"/>
      <w:r>
        <w:t>aminopenicilinas</w:t>
      </w:r>
      <w:proofErr w:type="spellEnd"/>
      <w:r>
        <w:t xml:space="preserve">, incluyendo Amoxicilina, en tales casos. En raras ocasiones se ha informado de reacciones anafilácticas por Amoxicilina, semejantes a las que ocurren con otras penicilinas. Estos efectos son reversibles con la suspensión del tratamiento. Antes de comenzar el tratamiento, debe establecerse el historial del paciente en cuanto a hipersensibilidad a penicilinas, cefalosporinas o alergias múltiples </w:t>
      </w:r>
      <w:r>
        <w:lastRenderedPageBreak/>
        <w:t xml:space="preserve">medicamentosas. La Amoxicilina está contraindicada en antecedentes de hipersensibilidad a ampicilina. Se usará con gran precaución en casos de hipersensibilidad a cefalosporinas, puesto que parece existir sensibilidad cruzada parcial, y se guardarán precauciones en pacientes con historial de alergias múltiples, aunque no existe evidencia de que se produzca incidencia mayor de reacciones de hipersensibilidad a penicilinas en </w:t>
      </w:r>
      <w:proofErr w:type="gramStart"/>
      <w:r>
        <w:t>éstos</w:t>
      </w:r>
      <w:proofErr w:type="gramEnd"/>
      <w:r>
        <w:t xml:space="preserve"> enfermos.</w:t>
      </w:r>
    </w:p>
    <w:p w14:paraId="1B25E1C0" w14:textId="77777777" w:rsidR="006B7B53" w:rsidRDefault="006B7B53" w:rsidP="006B7B53">
      <w:pPr>
        <w:pStyle w:val="NormalWeb"/>
      </w:pPr>
      <w:r>
        <w:t>REACCIONES ADVERSAS Y EFECTOS COLATERALES:</w:t>
      </w:r>
    </w:p>
    <w:p w14:paraId="17524A62" w14:textId="77777777" w:rsidR="006B7B53" w:rsidRDefault="006B7B53" w:rsidP="006B7B53">
      <w:pPr>
        <w:pStyle w:val="NormalWeb"/>
      </w:pPr>
      <w:r>
        <w:t xml:space="preserve">Los más frecuentes son de naturaleza gastrointestinales: Náuseas, vómitos y diarreas. </w:t>
      </w:r>
    </w:p>
    <w:p w14:paraId="4AFC5DF4" w14:textId="77777777" w:rsidR="006B7B53" w:rsidRDefault="006B7B53" w:rsidP="006B7B53">
      <w:pPr>
        <w:pStyle w:val="NormalWeb"/>
      </w:pPr>
      <w:r>
        <w:t xml:space="preserve">Pueden producirse también reacciones de hipersensibilidad. Pueden producirse </w:t>
      </w:r>
      <w:proofErr w:type="spellStart"/>
      <w:r>
        <w:t>superinfección</w:t>
      </w:r>
      <w:proofErr w:type="spellEnd"/>
      <w:r>
        <w:t xml:space="preserve"> por microorganismos no susceptibles, especialmente </w:t>
      </w:r>
      <w:proofErr w:type="spellStart"/>
      <w:r>
        <w:t>Candida</w:t>
      </w:r>
      <w:proofErr w:type="spellEnd"/>
      <w:r>
        <w:t>.</w:t>
      </w:r>
    </w:p>
    <w:p w14:paraId="4EAD3700" w14:textId="77777777" w:rsidR="006B7B53" w:rsidRDefault="006B7B53" w:rsidP="006B7B53">
      <w:pPr>
        <w:pStyle w:val="NormalWeb"/>
      </w:pPr>
      <w:r>
        <w:t>INTERACCION CON ALIMENTOS Y MEDICAMENTOS:</w:t>
      </w:r>
    </w:p>
    <w:p w14:paraId="6623E146" w14:textId="77777777" w:rsidR="006B7B53" w:rsidRDefault="006B7B53" w:rsidP="006B7B53">
      <w:pPr>
        <w:pStyle w:val="NormalWeb"/>
      </w:pPr>
      <w:proofErr w:type="gramStart"/>
      <w:r>
        <w:t>La administración junto con antibióticos bacteriostáticos pueden</w:t>
      </w:r>
      <w:proofErr w:type="gramEnd"/>
      <w:r>
        <w:t xml:space="preserve"> producir en ciertos casos inhibición del efecto. El </w:t>
      </w:r>
      <w:proofErr w:type="spellStart"/>
      <w:r>
        <w:t>probenecid</w:t>
      </w:r>
      <w:proofErr w:type="spellEnd"/>
      <w:r>
        <w:t xml:space="preserve"> inhibe la eliminación renal de Amoxicilina.</w:t>
      </w:r>
    </w:p>
    <w:p w14:paraId="09863850" w14:textId="77777777" w:rsidR="006B7B53" w:rsidRDefault="006B7B53" w:rsidP="006B7B53">
      <w:pPr>
        <w:pStyle w:val="NormalWeb"/>
      </w:pPr>
      <w:r>
        <w:t>SOBREDOSIFICACION:</w:t>
      </w:r>
    </w:p>
    <w:p w14:paraId="7D2B0E87" w14:textId="77777777" w:rsidR="006B7B53" w:rsidRDefault="006B7B53" w:rsidP="006B7B53">
      <w:pPr>
        <w:pStyle w:val="NormalWeb"/>
      </w:pPr>
      <w:r>
        <w:t>Si se produce una reacción de hipersensibilidad, se suspenderá su administración, aplicándose el tratamiento específico adecuado a la naturaleza e intensidad de la misma (antihistamínicos, corticoides, etc.). Las reacciones anafilácticas graves requieren tratamiento con epinefrina y, si es necesario asistencia de la función respiratoria y corticoides por vía IV.</w:t>
      </w:r>
    </w:p>
    <w:p w14:paraId="77D95D75" w14:textId="77777777" w:rsidR="006B7B53" w:rsidRDefault="006B7B53" w:rsidP="006B7B53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14:paraId="68E33AA0" w14:textId="77777777" w:rsidR="006B7B53" w:rsidRDefault="006B7B53" w:rsidP="006B7B53">
      <w:pPr>
        <w:pStyle w:val="NormalWeb"/>
      </w:pPr>
      <w:r>
        <w:t>RESTRICCIONES DE USO:</w:t>
      </w:r>
    </w:p>
    <w:p w14:paraId="704D0655" w14:textId="77777777" w:rsidR="006B7B53" w:rsidRDefault="006B7B53" w:rsidP="006B7B53">
      <w:pPr>
        <w:pStyle w:val="NormalWeb"/>
      </w:pPr>
      <w:r>
        <w:t>Embarazo y lactancia: El antibiótico atraviesa la barrera placentaria y pasa a la leche materna, circunstancia que debe ser tenida en cuenta cuando se lo administra, y determinará el riesgo-beneficio en cada caso.</w:t>
      </w:r>
    </w:p>
    <w:p w14:paraId="55F8CE88" w14:textId="77777777" w:rsidR="006B7B53" w:rsidRDefault="006B7B53" w:rsidP="006B7B53">
      <w:pPr>
        <w:pStyle w:val="NormalWeb"/>
      </w:pPr>
      <w:r>
        <w:t>CONSERVACION:</w:t>
      </w:r>
    </w:p>
    <w:p w14:paraId="451827B9" w14:textId="77777777" w:rsidR="006B7B53" w:rsidRDefault="006B7B53" w:rsidP="006B7B53">
      <w:pPr>
        <w:pStyle w:val="NormalWeb"/>
      </w:pPr>
      <w:r>
        <w:t xml:space="preserve">Suspensión: Almacenar a temperatura entre 15° y 30 °C. Una vez reconstituida tiene validez por </w:t>
      </w:r>
    </w:p>
    <w:p w14:paraId="4AB8C8C3" w14:textId="77777777" w:rsidR="006B7B53" w:rsidRDefault="006B7B53" w:rsidP="006B7B53">
      <w:pPr>
        <w:pStyle w:val="NormalWeb"/>
      </w:pPr>
      <w:r>
        <w:t>7 días a temperatura ambiente y 15 días en la heladera.</w:t>
      </w:r>
    </w:p>
    <w:p w14:paraId="2DFAB18A" w14:textId="77777777" w:rsidR="006B7B53" w:rsidRDefault="006B7B53" w:rsidP="006B7B53">
      <w:pPr>
        <w:pStyle w:val="NormalWeb"/>
      </w:pPr>
      <w:r>
        <w:t>Comprimidos Recubiertos: Almacenar a temperatura entre 15° y 30 °C.</w:t>
      </w:r>
    </w:p>
    <w:p w14:paraId="0579C6AA" w14:textId="77777777" w:rsidR="006B7B53" w:rsidRDefault="006B7B53" w:rsidP="006B7B53">
      <w:pPr>
        <w:pStyle w:val="NormalWeb"/>
      </w:pPr>
      <w:r>
        <w:t>PRESENTACIONES:</w:t>
      </w:r>
    </w:p>
    <w:p w14:paraId="2BC71ED5" w14:textId="77777777" w:rsidR="006B7B53" w:rsidRDefault="006B7B53" w:rsidP="006B7B53">
      <w:pPr>
        <w:pStyle w:val="NormalWeb"/>
      </w:pPr>
      <w:r>
        <w:t xml:space="preserve">Caja conteniendo polvo para preparar 90 </w:t>
      </w:r>
      <w:proofErr w:type="spellStart"/>
      <w:r>
        <w:t>mL</w:t>
      </w:r>
      <w:proofErr w:type="spellEnd"/>
      <w:r>
        <w:t xml:space="preserve"> de suspensión extemporánea.</w:t>
      </w:r>
    </w:p>
    <w:p w14:paraId="10F69844" w14:textId="77777777" w:rsidR="006B7B53" w:rsidRDefault="006B7B53" w:rsidP="006B7B53">
      <w:pPr>
        <w:pStyle w:val="NormalWeb"/>
      </w:pPr>
      <w:r>
        <w:t xml:space="preserve">Caja conteniendo 14 comprimidos recubiertos. </w:t>
      </w:r>
    </w:p>
    <w:p w14:paraId="5F3C15BC" w14:textId="77777777" w:rsidR="006B7B53" w:rsidRDefault="006B7B53" w:rsidP="006B7B53">
      <w:pPr>
        <w:pStyle w:val="NormalWeb"/>
      </w:pPr>
      <w:r>
        <w:t>INSTRUCCIONES PARA PREPARAR LA SUSPENSION:</w:t>
      </w:r>
    </w:p>
    <w:p w14:paraId="1F1AAD82" w14:textId="77777777" w:rsidR="006B7B53" w:rsidRDefault="006B7B53" w:rsidP="006B7B53">
      <w:pPr>
        <w:pStyle w:val="NormalWeb"/>
      </w:pPr>
      <w:r>
        <w:t>Agregar agua previamente hervida y enfriada a temperatura ambiente al polvo hasta la marca que figura en la etiqueta, tapar y agitar enérgicamente, dejar reposar y verificar si se mantiene dicho nivel. En caso contrario, completar con agua nuevamente.</w:t>
      </w:r>
    </w:p>
    <w:p w14:paraId="5D7F1064" w14:textId="77777777" w:rsidR="006B7B53" w:rsidRDefault="006B7B53" w:rsidP="006B7B53">
      <w:pPr>
        <w:pStyle w:val="NormalWeb"/>
      </w:pPr>
      <w:r>
        <w:t>Estos medicamentos deben ser utilizados únicamente por prescripción médica y no podrán repetirse sin nueva indicación del facultativo.</w:t>
      </w:r>
    </w:p>
    <w:p w14:paraId="6EA4C70F" w14:textId="77777777" w:rsidR="006B7B53" w:rsidRDefault="006B7B53" w:rsidP="006B7B53">
      <w:pPr>
        <w:pStyle w:val="NormalWeb"/>
      </w:pPr>
      <w:r>
        <w:lastRenderedPageBreak/>
        <w:t xml:space="preserve">En caso de uso de </w:t>
      </w:r>
      <w:proofErr w:type="gramStart"/>
      <w:r>
        <w:t>éstos</w:t>
      </w:r>
      <w:proofErr w:type="gramEnd"/>
      <w:r>
        <w:t xml:space="preserve"> medicamentos sin prescripción médica, la ocurrencia de efectos adversos e indeseables será de exclusiva responsabilidad de quién los utilice.</w:t>
      </w:r>
    </w:p>
    <w:p w14:paraId="42757885" w14:textId="77777777" w:rsidR="006B7B53" w:rsidRDefault="006B7B53" w:rsidP="006B7B53">
      <w:pPr>
        <w:pStyle w:val="NormalWeb"/>
      </w:pPr>
      <w:r>
        <w:t>Si Ud. es deportista y está sometido a control de doping, no utilice estos productos sin consultar a su médico.</w:t>
      </w:r>
    </w:p>
    <w:p w14:paraId="2F9D59B7" w14:textId="77777777" w:rsidR="006B7B53" w:rsidRDefault="006B7B53" w:rsidP="006B7B53">
      <w:pPr>
        <w:pStyle w:val="NormalWeb"/>
      </w:pPr>
      <w:r>
        <w:t>Elaborado por: LABORATORIOS CATEDRAL DE SCAVONE HNOS.</w:t>
      </w:r>
    </w:p>
    <w:p w14:paraId="42877B53" w14:textId="77777777" w:rsidR="006B7B53" w:rsidRDefault="006B7B53" w:rsidP="006B7B53">
      <w:pPr>
        <w:pStyle w:val="NormalWeb"/>
      </w:pPr>
      <w:r>
        <w:t xml:space="preserve">Calle Bernardino Caballero esq. Cándido </w:t>
      </w:r>
      <w:proofErr w:type="spellStart"/>
      <w:r>
        <w:t>Vasconsellos</w:t>
      </w:r>
      <w:proofErr w:type="spellEnd"/>
      <w:r>
        <w:t xml:space="preserve"> - Asunción.</w:t>
      </w:r>
    </w:p>
    <w:p w14:paraId="629301AE" w14:textId="77777777" w:rsidR="006B7B53" w:rsidRDefault="006B7B53" w:rsidP="006B7B53">
      <w:pPr>
        <w:pStyle w:val="NormalWeb"/>
      </w:pPr>
      <w:r>
        <w:t>Para: QUIMFA S.A.</w:t>
      </w:r>
    </w:p>
    <w:p w14:paraId="3CB46AF2" w14:textId="77777777" w:rsidR="006B7B53" w:rsidRDefault="006B7B53" w:rsidP="006B7B53">
      <w:pPr>
        <w:pStyle w:val="NormalWeb"/>
      </w:pPr>
      <w:r>
        <w:t>Director Técnico: Q.F. Laura Ramírez</w:t>
      </w:r>
    </w:p>
    <w:p w14:paraId="70778D9E" w14:textId="77777777" w:rsidR="006B7B53" w:rsidRDefault="006B7B53" w:rsidP="006B7B53">
      <w:pPr>
        <w:pStyle w:val="NormalWeb"/>
      </w:pPr>
      <w:r>
        <w:t xml:space="preserve">Reg. Prof. </w:t>
      </w:r>
      <w:proofErr w:type="spellStart"/>
      <w:r>
        <w:t>Nº</w:t>
      </w:r>
      <w:proofErr w:type="spellEnd"/>
      <w:r>
        <w:t xml:space="preserve"> 4.142</w:t>
      </w:r>
    </w:p>
    <w:p w14:paraId="3580E015" w14:textId="77777777" w:rsidR="006B7B53" w:rsidRDefault="006B7B53" w:rsidP="006B7B53">
      <w:pPr>
        <w:pStyle w:val="NormalWeb"/>
      </w:pPr>
      <w:r>
        <w:t xml:space="preserve">Autorizado por D.N.V.S. del M.S.P. y B.S. </w:t>
      </w:r>
    </w:p>
    <w:p w14:paraId="2C215EDF" w14:textId="77777777" w:rsidR="006B7B53" w:rsidRDefault="006B7B53" w:rsidP="006B7B53">
      <w:pPr>
        <w:pStyle w:val="NormalWeb"/>
      </w:pPr>
      <w:r>
        <w:t>MANTENER FUERA DEL ALCANCE DE LOS NIÑOS</w:t>
      </w:r>
    </w:p>
    <w:p w14:paraId="1851448B" w14:textId="20986086" w:rsidR="00551299" w:rsidRPr="006B7B53" w:rsidRDefault="00551299" w:rsidP="006B7B53"/>
    <w:sectPr w:rsidR="00551299" w:rsidRPr="006B7B53" w:rsidSect="00551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20370"/>
    <w:multiLevelType w:val="hybridMultilevel"/>
    <w:tmpl w:val="43F68880"/>
    <w:lvl w:ilvl="0" w:tplc="0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C"/>
    <w:rsid w:val="00016D5C"/>
    <w:rsid w:val="00045377"/>
    <w:rsid w:val="00096099"/>
    <w:rsid w:val="000B0F79"/>
    <w:rsid w:val="001562FC"/>
    <w:rsid w:val="001634A1"/>
    <w:rsid w:val="002305EC"/>
    <w:rsid w:val="00272258"/>
    <w:rsid w:val="002F26BA"/>
    <w:rsid w:val="00417D44"/>
    <w:rsid w:val="0046189A"/>
    <w:rsid w:val="00473AC7"/>
    <w:rsid w:val="00551299"/>
    <w:rsid w:val="00682073"/>
    <w:rsid w:val="006B7B53"/>
    <w:rsid w:val="00703951"/>
    <w:rsid w:val="00705221"/>
    <w:rsid w:val="00715CF2"/>
    <w:rsid w:val="007166E3"/>
    <w:rsid w:val="00785341"/>
    <w:rsid w:val="007E41E0"/>
    <w:rsid w:val="008E1DA7"/>
    <w:rsid w:val="00A10586"/>
    <w:rsid w:val="00A93C14"/>
    <w:rsid w:val="00B61E7F"/>
    <w:rsid w:val="00BD01B2"/>
    <w:rsid w:val="00C05729"/>
    <w:rsid w:val="00DA11A8"/>
    <w:rsid w:val="00E16D0A"/>
    <w:rsid w:val="00E2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AE6819"/>
  <w15:chartTrackingRefBased/>
  <w15:docId w15:val="{3FC934C4-AF06-4CA5-9404-6F06D755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37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7225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72258"/>
    <w:pPr>
      <w:spacing w:after="200" w:line="276" w:lineRule="auto"/>
      <w:ind w:left="720"/>
      <w:contextualSpacing/>
    </w:pPr>
    <w:rPr>
      <w:lang w:val="es-ES"/>
    </w:rPr>
  </w:style>
  <w:style w:type="paragraph" w:customStyle="1" w:styleId="Textoindependiente21">
    <w:name w:val="Texto independiente 21"/>
    <w:basedOn w:val="Normal"/>
    <w:rsid w:val="00272258"/>
    <w:pPr>
      <w:overflowPunct w:val="0"/>
      <w:autoSpaceDE w:val="0"/>
      <w:autoSpaceDN w:val="0"/>
      <w:adjustRightInd w:val="0"/>
      <w:spacing w:after="0" w:line="240" w:lineRule="auto"/>
      <w:ind w:left="142"/>
      <w:jc w:val="both"/>
      <w:textAlignment w:val="baseline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B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cp:lastPrinted>2018-09-04T14:00:00Z</cp:lastPrinted>
  <dcterms:created xsi:type="dcterms:W3CDTF">2020-09-04T20:48:00Z</dcterms:created>
  <dcterms:modified xsi:type="dcterms:W3CDTF">2020-09-04T20:48:00Z</dcterms:modified>
</cp:coreProperties>
</file>