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F97" w:rsidRDefault="00DF0F97" w:rsidP="00DF0F97">
      <w:pPr>
        <w:pStyle w:val="NormalWeb"/>
      </w:pPr>
      <w:bookmarkStart w:id="0" w:name="_GoBack"/>
      <w:bookmarkEnd w:id="0"/>
      <w:r>
        <w:t>SULFA-SEPSIDIN®</w:t>
      </w:r>
    </w:p>
    <w:p w:rsidR="00DF0F97" w:rsidRDefault="00DF0F97" w:rsidP="00DF0F97">
      <w:pPr>
        <w:pStyle w:val="NormalWeb"/>
      </w:pPr>
      <w:r>
        <w:t>Venta Bajo Receta Comprimidos/ Suspensión</w:t>
      </w:r>
    </w:p>
    <w:p w:rsidR="00DF0F97" w:rsidRDefault="00DF0F97" w:rsidP="00DF0F97">
      <w:pPr>
        <w:pStyle w:val="NormalWeb"/>
      </w:pPr>
      <w:r>
        <w:t>Industria Paraguaya V.A.: Oral</w:t>
      </w:r>
    </w:p>
    <w:p w:rsidR="00DF0F97" w:rsidRDefault="00DF0F97" w:rsidP="00DF0F97">
      <w:pPr>
        <w:pStyle w:val="NormalWeb"/>
      </w:pPr>
      <w:r>
        <w:t>SULFA-SEPSIDIN®</w:t>
      </w:r>
    </w:p>
    <w:p w:rsidR="00DF0F97" w:rsidRDefault="00DF0F97" w:rsidP="00DF0F97">
      <w:pPr>
        <w:pStyle w:val="NormalWeb"/>
      </w:pPr>
      <w:r>
        <w:t>SULFAMETOXAZOL – TRIMETOPRIM</w:t>
      </w:r>
    </w:p>
    <w:p w:rsidR="00DF0F97" w:rsidRDefault="00DF0F97" w:rsidP="00DF0F97">
      <w:pPr>
        <w:pStyle w:val="NormalWeb"/>
      </w:pPr>
      <w:r>
        <w:t>FORMULA:</w:t>
      </w:r>
    </w:p>
    <w:p w:rsidR="00DF0F97" w:rsidRDefault="00DF0F97" w:rsidP="00DF0F97">
      <w:pPr>
        <w:pStyle w:val="NormalWeb"/>
      </w:pPr>
      <w:r>
        <w:t xml:space="preserve">Cada 5 </w:t>
      </w:r>
      <w:proofErr w:type="spellStart"/>
      <w:r>
        <w:t>mL</w:t>
      </w:r>
      <w:proofErr w:type="spellEnd"/>
      <w:r>
        <w:t xml:space="preserve"> de suspensión contiene:</w:t>
      </w:r>
    </w:p>
    <w:p w:rsidR="00DF0F97" w:rsidRDefault="00DF0F97" w:rsidP="00DF0F97">
      <w:pPr>
        <w:pStyle w:val="NormalWeb"/>
      </w:pPr>
      <w:r>
        <w:t>Sulfametoxazol.................................................................200 mg.</w:t>
      </w:r>
    </w:p>
    <w:p w:rsidR="00DF0F97" w:rsidRDefault="00DF0F97" w:rsidP="00DF0F97">
      <w:pPr>
        <w:pStyle w:val="NormalWeb"/>
      </w:pPr>
      <w:r>
        <w:t>Trimetoprim.........................................................................40 mg.</w:t>
      </w:r>
    </w:p>
    <w:p w:rsidR="00DF0F97" w:rsidRDefault="00DF0F97" w:rsidP="00DF0F97">
      <w:pPr>
        <w:pStyle w:val="NormalWeb"/>
      </w:pPr>
      <w:r>
        <w:t>Excipientes...........................................................................c.s.p.</w:t>
      </w:r>
    </w:p>
    <w:p w:rsidR="00DF0F97" w:rsidRDefault="00DF0F97" w:rsidP="00DF0F97">
      <w:pPr>
        <w:pStyle w:val="NormalWeb"/>
      </w:pPr>
      <w:r>
        <w:t>SULFA-SEPSIDIN®FORTE</w:t>
      </w:r>
    </w:p>
    <w:p w:rsidR="00DF0F97" w:rsidRDefault="00DF0F97" w:rsidP="00DF0F97">
      <w:pPr>
        <w:pStyle w:val="NormalWeb"/>
      </w:pPr>
      <w:r>
        <w:t>SULFAMETOXAZOL – TRIMETOPRIM</w:t>
      </w:r>
    </w:p>
    <w:p w:rsidR="00DF0F97" w:rsidRDefault="00DF0F97" w:rsidP="00DF0F97">
      <w:pPr>
        <w:pStyle w:val="NormalWeb"/>
      </w:pPr>
      <w:r>
        <w:t>FORMULA:</w:t>
      </w:r>
    </w:p>
    <w:p w:rsidR="00DF0F97" w:rsidRDefault="00DF0F97" w:rsidP="00DF0F97">
      <w:pPr>
        <w:pStyle w:val="NormalWeb"/>
      </w:pPr>
      <w:r>
        <w:t>Cada comprimido contiene:</w:t>
      </w:r>
    </w:p>
    <w:p w:rsidR="00DF0F97" w:rsidRDefault="00DF0F97" w:rsidP="00DF0F97">
      <w:pPr>
        <w:pStyle w:val="NormalWeb"/>
      </w:pPr>
      <w:r>
        <w:t>Sulfametoxazol.................................................................800 mg.</w:t>
      </w:r>
    </w:p>
    <w:p w:rsidR="00DF0F97" w:rsidRDefault="00DF0F97" w:rsidP="00DF0F97">
      <w:pPr>
        <w:pStyle w:val="NormalWeb"/>
      </w:pPr>
      <w:r>
        <w:t>Trimetoprim.......................................................................160 mg.</w:t>
      </w:r>
    </w:p>
    <w:p w:rsidR="00DF0F97" w:rsidRDefault="00DF0F97" w:rsidP="00DF0F97">
      <w:pPr>
        <w:pStyle w:val="NormalWeb"/>
      </w:pPr>
      <w:r>
        <w:t>Excipientes...........................................................................c.s.p.</w:t>
      </w:r>
    </w:p>
    <w:p w:rsidR="00DF0F97" w:rsidRDefault="00DF0F97" w:rsidP="00DF0F97">
      <w:pPr>
        <w:pStyle w:val="NormalWeb"/>
      </w:pPr>
      <w:r>
        <w:t>ACCION TERAPEUTICA:</w:t>
      </w:r>
    </w:p>
    <w:p w:rsidR="00DF0F97" w:rsidRDefault="00DF0F97" w:rsidP="00DF0F97">
      <w:pPr>
        <w:pStyle w:val="NormalWeb"/>
      </w:pPr>
      <w:r>
        <w:t xml:space="preserve">Bacteriostático sistémico con actividad </w:t>
      </w:r>
      <w:proofErr w:type="spellStart"/>
      <w:r>
        <w:t>antiprotozoaria</w:t>
      </w:r>
      <w:proofErr w:type="spellEnd"/>
      <w:r>
        <w:t>.</w:t>
      </w:r>
    </w:p>
    <w:p w:rsidR="00DF0F97" w:rsidRDefault="00DF0F97" w:rsidP="00DF0F97">
      <w:pPr>
        <w:pStyle w:val="NormalWeb"/>
      </w:pPr>
      <w:r>
        <w:t>MECANISMO DE ACCION Y DATOS FARMACOCINETICOS:</w:t>
      </w:r>
    </w:p>
    <w:p w:rsidR="00DF0F97" w:rsidRDefault="00DF0F97" w:rsidP="00DF0F97">
      <w:pPr>
        <w:pStyle w:val="NormalWeb"/>
      </w:pPr>
      <w:proofErr w:type="spellStart"/>
      <w:r>
        <w:t>Sulfametoxazol</w:t>
      </w:r>
      <w:proofErr w:type="spellEnd"/>
      <w:r>
        <w:t xml:space="preserve">: Es una sulfamida antiséptica bacteriostática de amplio espectro. El </w:t>
      </w:r>
      <w:proofErr w:type="spellStart"/>
      <w:r>
        <w:t>Sulfametoxazol</w:t>
      </w:r>
      <w:proofErr w:type="spellEnd"/>
      <w:r>
        <w:t xml:space="preserve"> es análogo estructural del ácido para-</w:t>
      </w:r>
      <w:proofErr w:type="spellStart"/>
      <w:r>
        <w:t>aminobenzoico</w:t>
      </w:r>
      <w:proofErr w:type="spellEnd"/>
      <w:r>
        <w:t xml:space="preserve"> (PABA) e inhibe de manera competitiva una enzima bacteriana, la </w:t>
      </w:r>
      <w:proofErr w:type="spellStart"/>
      <w:r>
        <w:t>dihidropteroato</w:t>
      </w:r>
      <w:proofErr w:type="spellEnd"/>
      <w:r>
        <w:t xml:space="preserve"> </w:t>
      </w:r>
      <w:proofErr w:type="spellStart"/>
      <w:r>
        <w:t>sintetasa</w:t>
      </w:r>
      <w:proofErr w:type="spellEnd"/>
      <w:r>
        <w:t xml:space="preserve">, que es responsable de la incorporación del PABA al ácido </w:t>
      </w:r>
      <w:proofErr w:type="spellStart"/>
      <w:r>
        <w:t>dihidrofólico</w:t>
      </w:r>
      <w:proofErr w:type="spellEnd"/>
      <w:r>
        <w:t xml:space="preserve">. Por consiguiente bloquea la síntesis del ácido </w:t>
      </w:r>
      <w:proofErr w:type="spellStart"/>
      <w:r>
        <w:t>dihidrofólico</w:t>
      </w:r>
      <w:proofErr w:type="spellEnd"/>
      <w:r>
        <w:t xml:space="preserve"> y disminuye la cantidad de ácido </w:t>
      </w:r>
      <w:proofErr w:type="spellStart"/>
      <w:r>
        <w:t>tetrahidrofólico</w:t>
      </w:r>
      <w:proofErr w:type="spellEnd"/>
      <w:r>
        <w:t xml:space="preserve"> metabólicamente activo, cofactor en la síntesis de purinas, </w:t>
      </w:r>
      <w:proofErr w:type="spellStart"/>
      <w:r>
        <w:t>timidina</w:t>
      </w:r>
      <w:proofErr w:type="spellEnd"/>
      <w:r>
        <w:t xml:space="preserve"> y DNA. Las bacterias sensibles son aquellas que han de sintetizar ácido fólico. La acción de la sulfamida es antagonizada por el PABA y sus derivados (</w:t>
      </w:r>
      <w:proofErr w:type="spellStart"/>
      <w:r>
        <w:t>procaína</w:t>
      </w:r>
      <w:proofErr w:type="spellEnd"/>
      <w:r>
        <w:t xml:space="preserve"> y </w:t>
      </w:r>
      <w:proofErr w:type="spellStart"/>
      <w:r>
        <w:t>tetracaína</w:t>
      </w:r>
      <w:proofErr w:type="spellEnd"/>
      <w:r>
        <w:t xml:space="preserve">) y por la presencia de pus o detritos celulares, componentes necesarios para el crecimiento bacteriano. </w:t>
      </w:r>
    </w:p>
    <w:p w:rsidR="00DF0F97" w:rsidRDefault="00DF0F97" w:rsidP="00DF0F97">
      <w:pPr>
        <w:pStyle w:val="NormalWeb"/>
      </w:pPr>
      <w:proofErr w:type="spellStart"/>
      <w:r>
        <w:lastRenderedPageBreak/>
        <w:t>Trimetoprim</w:t>
      </w:r>
      <w:proofErr w:type="spellEnd"/>
      <w:r>
        <w:t xml:space="preserve">: El </w:t>
      </w:r>
      <w:proofErr w:type="spellStart"/>
      <w:r>
        <w:t>Trimetoprim</w:t>
      </w:r>
      <w:proofErr w:type="spellEnd"/>
      <w:r>
        <w:t xml:space="preserve"> es una base débil lipófila bacteriostática, estructuralmente relacionada con la </w:t>
      </w:r>
      <w:proofErr w:type="spellStart"/>
      <w:r>
        <w:t>pirimetamina</w:t>
      </w:r>
      <w:proofErr w:type="spellEnd"/>
      <w:r>
        <w:t xml:space="preserve">; se une a la enzima bacteriana </w:t>
      </w:r>
      <w:proofErr w:type="spellStart"/>
      <w:r>
        <w:t>dihidrofolato</w:t>
      </w:r>
      <w:proofErr w:type="spellEnd"/>
      <w:r>
        <w:t xml:space="preserve"> </w:t>
      </w:r>
      <w:proofErr w:type="spellStart"/>
      <w:r>
        <w:t>reductasa</w:t>
      </w:r>
      <w:proofErr w:type="spellEnd"/>
      <w:r>
        <w:t xml:space="preserve"> inhibiéndola. De esta manera bloquea en forma selectiva la conversión del ácido </w:t>
      </w:r>
      <w:proofErr w:type="spellStart"/>
      <w:r>
        <w:t>dihidrofólico</w:t>
      </w:r>
      <w:proofErr w:type="spellEnd"/>
      <w:r>
        <w:t xml:space="preserve"> a su forma funcional, ácido </w:t>
      </w:r>
      <w:proofErr w:type="spellStart"/>
      <w:r>
        <w:t>tetrahidrofólico</w:t>
      </w:r>
      <w:proofErr w:type="spellEnd"/>
      <w:r>
        <w:t xml:space="preserve">. Esto agota el folato, lo que interfiere en la producción del ácido nucleico y de las proteínas bacterianas. Ejerce su efecto en un estado de la biosíntesis del folato inmediatamente posterior al estado en el que actúa el </w:t>
      </w:r>
      <w:proofErr w:type="spellStart"/>
      <w:r>
        <w:t>Sulfametoxazol</w:t>
      </w:r>
      <w:proofErr w:type="spellEnd"/>
      <w:r>
        <w:t xml:space="preserve">, se produce una acción sinérgica entre ambos por la inhibición de la producción de </w:t>
      </w:r>
      <w:proofErr w:type="spellStart"/>
      <w:r>
        <w:t>tetrahidrofolato</w:t>
      </w:r>
      <w:proofErr w:type="spellEnd"/>
      <w:r>
        <w:t xml:space="preserve"> en dos pasos secuenciales de su biosíntesis. Se distribuye ampliamente en tejidos y líquidos, atraviesa la placenta con facilidad. Su unión a las proteínas es variable, compitiendo con la bilirrubina por la unión a la albúmina. Sólo tiene actividad antibacteriana el medicamento libre, no unido. Es metabolizado en el hígado, sobre todo por acetilación a metabolitos inactivos que retienen la toxicidad del producto original. Se elimina por vía renal por filtración glomerular con secreción tubular y reabsorción del producto activo y de los metabolitos.</w:t>
      </w:r>
    </w:p>
    <w:p w:rsidR="00DF0F97" w:rsidRDefault="00DF0F97" w:rsidP="00DF0F97">
      <w:pPr>
        <w:pStyle w:val="NormalWeb"/>
      </w:pPr>
      <w:r>
        <w:t>INDICACIONES TERAPEUTICAS:</w:t>
      </w:r>
    </w:p>
    <w:p w:rsidR="00DF0F97" w:rsidRDefault="00DF0F97" w:rsidP="00DF0F97">
      <w:pPr>
        <w:pStyle w:val="NormalWeb"/>
      </w:pPr>
      <w:r>
        <w:t xml:space="preserve">Infecciones respiratorias de las vías aéreas superiores e inferiores. Infecciones de los tractos urinario y renal. Infecciones genitales en ambos sexos. Infecciones del tracto gastrointestinal. Infecciones de piel y tejidos blandos. Otras infecciones bacterianas: Osteomielitis agudas y crónicas, brucelosis aguda, septicemia, </w:t>
      </w:r>
      <w:proofErr w:type="spellStart"/>
      <w:r>
        <w:t>micetoma</w:t>
      </w:r>
      <w:proofErr w:type="spellEnd"/>
      <w:r>
        <w:t xml:space="preserve">, </w:t>
      </w:r>
      <w:proofErr w:type="spellStart"/>
      <w:r>
        <w:t>nocardiosis</w:t>
      </w:r>
      <w:proofErr w:type="spellEnd"/>
      <w:r>
        <w:t>, blastomicosis sudamericana.</w:t>
      </w:r>
    </w:p>
    <w:p w:rsidR="00DF0F97" w:rsidRDefault="00DF0F97" w:rsidP="00DF0F97">
      <w:pPr>
        <w:pStyle w:val="NormalWeb"/>
      </w:pPr>
      <w:r>
        <w:t>POSOLOGIA:</w:t>
      </w:r>
    </w:p>
    <w:p w:rsidR="00DF0F97" w:rsidRDefault="00DF0F97" w:rsidP="00DF0F97">
      <w:pPr>
        <w:pStyle w:val="NormalWeb"/>
      </w:pPr>
      <w:r>
        <w:t xml:space="preserve">Según prescripción médica. </w:t>
      </w:r>
    </w:p>
    <w:p w:rsidR="00DF0F97" w:rsidRDefault="00DF0F97" w:rsidP="00DF0F97">
      <w:pPr>
        <w:pStyle w:val="NormalWeb"/>
      </w:pPr>
      <w:r>
        <w:t xml:space="preserve">Adultos y niños mayores de 12 años: 1 a 2 comprimidos 2 veces al día, cada 12 horas. </w:t>
      </w:r>
    </w:p>
    <w:p w:rsidR="00DF0F97" w:rsidRDefault="00DF0F97" w:rsidP="00DF0F97">
      <w:pPr>
        <w:pStyle w:val="NormalWeb"/>
      </w:pPr>
      <w:r>
        <w:t xml:space="preserve">Niños: </w:t>
      </w:r>
      <w:proofErr w:type="spellStart"/>
      <w:r>
        <w:t>Trimetoprim</w:t>
      </w:r>
      <w:proofErr w:type="spellEnd"/>
      <w:r>
        <w:t xml:space="preserve">: 4 a 8 mg/kg/día. </w:t>
      </w:r>
      <w:proofErr w:type="spellStart"/>
      <w:r>
        <w:t>Sulfametoxazol</w:t>
      </w:r>
      <w:proofErr w:type="spellEnd"/>
      <w:r>
        <w:t>: 20 a 40 mg/kg/día. Divido en dos tomas (cada 12 horas).</w:t>
      </w:r>
    </w:p>
    <w:p w:rsidR="00DF0F97" w:rsidRDefault="00DF0F97" w:rsidP="00DF0F97">
      <w:pPr>
        <w:pStyle w:val="NormalWeb"/>
      </w:pPr>
      <w:r>
        <w:t>Agitar el frasco de la suspensión antes de usar.</w:t>
      </w:r>
    </w:p>
    <w:p w:rsidR="00DF0F97" w:rsidRDefault="00DF0F97" w:rsidP="00DF0F97">
      <w:pPr>
        <w:pStyle w:val="NormalWeb"/>
      </w:pPr>
      <w:r>
        <w:t>CONTRAINDICACIONES:</w:t>
      </w:r>
    </w:p>
    <w:p w:rsidR="00DF0F97" w:rsidRDefault="00DF0F97" w:rsidP="00DF0F97">
      <w:pPr>
        <w:pStyle w:val="NormalWeb"/>
      </w:pPr>
      <w:r>
        <w:t xml:space="preserve">Hipersensibilidad a las sulfamidas o al </w:t>
      </w:r>
      <w:proofErr w:type="spellStart"/>
      <w:r>
        <w:t>Trimetoprim</w:t>
      </w:r>
      <w:proofErr w:type="spellEnd"/>
      <w:r>
        <w:t>. Discrasias sanguíneas. Afecciones graves del parénquima hepático. Embarazo, salvo en caso de absoluta necesidad. Prematuros y recién nacidos.</w:t>
      </w:r>
    </w:p>
    <w:p w:rsidR="00DF0F97" w:rsidRDefault="00DF0F97" w:rsidP="00DF0F97">
      <w:pPr>
        <w:pStyle w:val="NormalWeb"/>
      </w:pPr>
      <w:r>
        <w:t>PRECAUCIONES Y ADVERTENCIAS:</w:t>
      </w:r>
    </w:p>
    <w:p w:rsidR="00DF0F97" w:rsidRDefault="00DF0F97" w:rsidP="00DF0F97">
      <w:pPr>
        <w:pStyle w:val="NormalWeb"/>
      </w:pPr>
      <w:r>
        <w:t xml:space="preserve">Deberá mantenerse una ingestión adecuada de líquidos. Es importante no omitir las dosis y completar el ciclo del tratamiento. Los efectos </w:t>
      </w:r>
      <w:proofErr w:type="spellStart"/>
      <w:r>
        <w:t>neutropénicos</w:t>
      </w:r>
      <w:proofErr w:type="spellEnd"/>
      <w:r>
        <w:t xml:space="preserve"> del </w:t>
      </w:r>
      <w:proofErr w:type="spellStart"/>
      <w:r>
        <w:t>Trimetoprim</w:t>
      </w:r>
      <w:proofErr w:type="spellEnd"/>
      <w:r>
        <w:t xml:space="preserve"> pueden dar lugar a mayor incidencia de infecciones microbianas, retraso en la cicatrización y hemorragia gingival.</w:t>
      </w:r>
    </w:p>
    <w:p w:rsidR="00DF0F97" w:rsidRDefault="00DF0F97" w:rsidP="00DF0F97">
      <w:pPr>
        <w:pStyle w:val="NormalWeb"/>
      </w:pPr>
      <w:r>
        <w:t xml:space="preserve">Deberán ser usados con precaución en pacientes con daño renal o insuficiencia hepática, o aquellos con deficiencia de folatos (ancianos, alcohólicos crónicos, pacientes que están recibiendo tratamiento con anticonvulsivante, pacientes con malabsorción </w:t>
      </w:r>
      <w:r>
        <w:lastRenderedPageBreak/>
        <w:t>intestinal y estado de desnutrición), y todos aquellos con problemas alérgicos y asma bronquial. En pacientes con deficiencia de glucosa-6-fosfato deshidrogenasa puede ocurrir hemólisis. En pacientes ancianos, puede incrementarse la posibilidad de reacciones adversas, particularmente cuando existen complicaciones, como alteraciones en la función renal o hepática.</w:t>
      </w:r>
    </w:p>
    <w:p w:rsidR="00DF0F97" w:rsidRDefault="00DF0F97" w:rsidP="00DF0F97">
      <w:pPr>
        <w:pStyle w:val="NormalWeb"/>
      </w:pPr>
      <w:r>
        <w:t>REACCIONES ADVERSAS Y EFECTOS COLATERALES:</w:t>
      </w:r>
    </w:p>
    <w:p w:rsidR="00DF0F97" w:rsidRDefault="00DF0F97" w:rsidP="00DF0F97">
      <w:pPr>
        <w:pStyle w:val="NormalWeb"/>
      </w:pPr>
      <w:r>
        <w:t>Cambios hemáticos, generalmente leves y asintomáticos. Reacciones gastrointestinales.</w:t>
      </w:r>
    </w:p>
    <w:p w:rsidR="00DF0F97" w:rsidRDefault="00DF0F97" w:rsidP="00DF0F97">
      <w:pPr>
        <w:pStyle w:val="NormalWeb"/>
      </w:pPr>
      <w:r>
        <w:t>INTERACCIONES CON ALIMENTOS Y MEDICAMENTOS:</w:t>
      </w:r>
    </w:p>
    <w:p w:rsidR="00DF0F97" w:rsidRDefault="00DF0F97" w:rsidP="00DF0F97">
      <w:pPr>
        <w:pStyle w:val="NormalWeb"/>
      </w:pPr>
      <w:r>
        <w:t xml:space="preserve">El uso simultáneo con </w:t>
      </w:r>
      <w:proofErr w:type="spellStart"/>
      <w:r>
        <w:t>rifampicina</w:t>
      </w:r>
      <w:proofErr w:type="spellEnd"/>
      <w:r>
        <w:t xml:space="preserve"> puede aumentar la eliminación y disminuir la vida media de la asociación </w:t>
      </w:r>
      <w:proofErr w:type="spellStart"/>
      <w:r>
        <w:t>Sulfametoxazol</w:t>
      </w:r>
      <w:proofErr w:type="spellEnd"/>
      <w:r>
        <w:t xml:space="preserve"> - </w:t>
      </w:r>
      <w:proofErr w:type="spellStart"/>
      <w:r>
        <w:t>Trimetoprim</w:t>
      </w:r>
      <w:proofErr w:type="spellEnd"/>
      <w:r>
        <w:t xml:space="preserve">. Agentes depresores de la médula ósea pueden aumentar los efectos </w:t>
      </w:r>
      <w:proofErr w:type="spellStart"/>
      <w:r>
        <w:t>leucopénicos</w:t>
      </w:r>
      <w:proofErr w:type="spellEnd"/>
      <w:r>
        <w:t xml:space="preserve"> o </w:t>
      </w:r>
      <w:proofErr w:type="spellStart"/>
      <w:r>
        <w:t>trombocitopénicos</w:t>
      </w:r>
      <w:proofErr w:type="spellEnd"/>
      <w:r>
        <w:t xml:space="preserve">. Los medicamentos </w:t>
      </w:r>
      <w:proofErr w:type="spellStart"/>
      <w:r>
        <w:t>fotosensibilizadores</w:t>
      </w:r>
      <w:proofErr w:type="spellEnd"/>
      <w:r>
        <w:t xml:space="preserve"> pueden producir efectos aditivos de </w:t>
      </w:r>
      <w:proofErr w:type="spellStart"/>
      <w:r>
        <w:t>fotosensibilidad</w:t>
      </w:r>
      <w:proofErr w:type="spellEnd"/>
      <w:r>
        <w:t xml:space="preserve"> al usarse de manera concomitante. El </w:t>
      </w:r>
      <w:proofErr w:type="spellStart"/>
      <w:r>
        <w:t>probenecid</w:t>
      </w:r>
      <w:proofErr w:type="spellEnd"/>
      <w:r>
        <w:t xml:space="preserve"> disminuye la secreción tubular renal de las sulfamidas, dando lugar a concentraciones séricas totales mayores y más prolongadas.</w:t>
      </w:r>
    </w:p>
    <w:p w:rsidR="00DF0F97" w:rsidRDefault="00DF0F97" w:rsidP="00DF0F97">
      <w:pPr>
        <w:pStyle w:val="NormalWeb"/>
      </w:pPr>
      <w:r>
        <w:t>SOBREDOSIFICACION:</w:t>
      </w:r>
    </w:p>
    <w:p w:rsidR="00DF0F97" w:rsidRDefault="00DF0F97" w:rsidP="00DF0F97">
      <w:pPr>
        <w:pStyle w:val="NormalWeb"/>
      </w:pPr>
      <w:r>
        <w:t xml:space="preserve">La toma accidental o la sobredosificación con </w:t>
      </w:r>
      <w:proofErr w:type="gramStart"/>
      <w:r>
        <w:t>éstos</w:t>
      </w:r>
      <w:proofErr w:type="gramEnd"/>
      <w:r>
        <w:t xml:space="preserve"> medicamentos deben ser inmediatamente comunicados al médico, indicando la cantidad de producto ingerido. Los síntomas más frecuentes de sobredosificación son vómitos, náuseas, vértigo y confusión, en caso necesario se efectuará lavado gástrico. La acidificación de la orina favorece la eliminación del </w:t>
      </w:r>
      <w:proofErr w:type="spellStart"/>
      <w:r>
        <w:t>Trimetoprim</w:t>
      </w:r>
      <w:proofErr w:type="spellEnd"/>
      <w:r>
        <w:t xml:space="preserve"> y la alcalinización aumenta la eliminación del </w:t>
      </w:r>
      <w:proofErr w:type="spellStart"/>
      <w:r>
        <w:t>Sulfametoxazol</w:t>
      </w:r>
      <w:proofErr w:type="spellEnd"/>
      <w:r>
        <w:t xml:space="preserve">. Ambos productos son </w:t>
      </w:r>
      <w:proofErr w:type="spellStart"/>
      <w:r>
        <w:t>dializables</w:t>
      </w:r>
      <w:proofErr w:type="spellEnd"/>
      <w:r>
        <w:t>.</w:t>
      </w:r>
    </w:p>
    <w:p w:rsidR="00DF0F97" w:rsidRDefault="00DF0F97" w:rsidP="00DF0F97">
      <w:pPr>
        <w:pStyle w:val="NormalWeb"/>
      </w:pPr>
      <w:r>
        <w:t>En caso de sobredosis o ingestión accidental, consultar al Servicio de Toxicología del Hospital de EMERGENCIAS MEDICAS. Tel.: 220-418 o el 204-800 (</w:t>
      </w:r>
      <w:proofErr w:type="spellStart"/>
      <w:r>
        <w:t>int</w:t>
      </w:r>
      <w:proofErr w:type="spellEnd"/>
      <w:r>
        <w:t>. 011).</w:t>
      </w:r>
    </w:p>
    <w:p w:rsidR="00DF0F97" w:rsidRDefault="00DF0F97" w:rsidP="00DF0F97">
      <w:pPr>
        <w:pStyle w:val="NormalWeb"/>
      </w:pPr>
      <w:r>
        <w:t>RESTRICCIONES DE USO:</w:t>
      </w:r>
    </w:p>
    <w:p w:rsidR="00DF0F97" w:rsidRDefault="00DF0F97" w:rsidP="00DF0F97">
      <w:pPr>
        <w:pStyle w:val="NormalWeb"/>
      </w:pPr>
      <w:r>
        <w:t>Se recomienda evitar su prescripción durante el período de embarazo. Deberá suspenderse el amamantamiento en caso de que la madre deba consumir éste producto.</w:t>
      </w:r>
    </w:p>
    <w:p w:rsidR="00DF0F97" w:rsidRDefault="00DF0F97" w:rsidP="00DF0F97">
      <w:pPr>
        <w:pStyle w:val="NormalWeb"/>
      </w:pPr>
      <w:r>
        <w:t>Aunque el producto está indicado en el tratamiento de la otitis media en niños no deberá prescribirse para la profilaxis o el tratamiento prolongado. Este producto no debe utilizarse por períodos mayores de 15 días sin estricta vigilancia médica.</w:t>
      </w:r>
    </w:p>
    <w:p w:rsidR="00DF0F97" w:rsidRDefault="00DF0F97" w:rsidP="00DF0F97">
      <w:pPr>
        <w:pStyle w:val="NormalWeb"/>
      </w:pPr>
      <w:r>
        <w:t>CONSERVACION:</w:t>
      </w:r>
    </w:p>
    <w:p w:rsidR="00DF0F97" w:rsidRDefault="00DF0F97" w:rsidP="00DF0F97">
      <w:pPr>
        <w:pStyle w:val="NormalWeb"/>
      </w:pPr>
      <w:r>
        <w:t>Almacenar a temperatura entre 15° y 30 °C.</w:t>
      </w:r>
    </w:p>
    <w:p w:rsidR="00DF0F97" w:rsidRDefault="00DF0F97" w:rsidP="00DF0F97">
      <w:pPr>
        <w:pStyle w:val="NormalWeb"/>
      </w:pPr>
      <w:r>
        <w:t xml:space="preserve">PRESENTACIONES: </w:t>
      </w:r>
    </w:p>
    <w:p w:rsidR="00DF0F97" w:rsidRDefault="00DF0F97" w:rsidP="00DF0F97">
      <w:pPr>
        <w:pStyle w:val="NormalWeb"/>
      </w:pPr>
      <w:r>
        <w:t>SULFA-SEPSIDIN®</w:t>
      </w:r>
    </w:p>
    <w:p w:rsidR="00DF0F97" w:rsidRDefault="00DF0F97" w:rsidP="00DF0F97">
      <w:pPr>
        <w:pStyle w:val="NormalWeb"/>
      </w:pPr>
      <w:r>
        <w:t xml:space="preserve">Caja conteniendo 60 </w:t>
      </w:r>
      <w:proofErr w:type="spellStart"/>
      <w:r>
        <w:t>mL</w:t>
      </w:r>
      <w:proofErr w:type="spellEnd"/>
      <w:r>
        <w:t xml:space="preserve"> de suspensión. Agitar antes de usar </w:t>
      </w:r>
    </w:p>
    <w:p w:rsidR="00DF0F97" w:rsidRDefault="00DF0F97" w:rsidP="00DF0F97">
      <w:pPr>
        <w:pStyle w:val="NormalWeb"/>
      </w:pPr>
      <w:r>
        <w:lastRenderedPageBreak/>
        <w:t>SULFA-SEPSIDIN® FORTE</w:t>
      </w:r>
    </w:p>
    <w:p w:rsidR="00DF0F97" w:rsidRDefault="00DF0F97" w:rsidP="00DF0F97">
      <w:pPr>
        <w:pStyle w:val="NormalWeb"/>
      </w:pPr>
      <w:r>
        <w:t>Caja conteniendo 20 comprimidos.</w:t>
      </w:r>
    </w:p>
    <w:p w:rsidR="00DF0F97" w:rsidRDefault="00DF0F97" w:rsidP="00DF0F97">
      <w:pPr>
        <w:pStyle w:val="NormalWeb"/>
      </w:pPr>
      <w:r>
        <w:t>Si Ud. es deportista y está sometido al control de doping, no consuma éstos productos sin consultar a su médico.</w:t>
      </w:r>
    </w:p>
    <w:p w:rsidR="00DF0F97" w:rsidRDefault="00DF0F97" w:rsidP="00DF0F97">
      <w:pPr>
        <w:pStyle w:val="NormalWeb"/>
      </w:pPr>
      <w:r>
        <w:t>Estos medicamentos deben ser utilizados únicamente por prescripción médica y no podrán repetirse sin nueva indicación del facultativo.</w:t>
      </w:r>
    </w:p>
    <w:p w:rsidR="00DF0F97" w:rsidRDefault="00DF0F97" w:rsidP="00DF0F97">
      <w:pPr>
        <w:pStyle w:val="NormalWeb"/>
      </w:pPr>
      <w:r>
        <w:t>En caso de uso de éstos medicamentos sin prescripción médica, la ocurrencia de efectos adversos e indeseables será de exclusiva responsabilidad de quien los consuma.</w:t>
      </w:r>
    </w:p>
    <w:p w:rsidR="00DF0F97" w:rsidRDefault="00DF0F97" w:rsidP="00DF0F97">
      <w:pPr>
        <w:pStyle w:val="NormalWeb"/>
      </w:pPr>
      <w:r>
        <w:t>Autorizado por D.N.V.S. del M.S.P. Y B.S.</w:t>
      </w:r>
    </w:p>
    <w:p w:rsidR="00DF0F97" w:rsidRDefault="00DF0F97" w:rsidP="00DF0F97">
      <w:pPr>
        <w:pStyle w:val="NormalWeb"/>
      </w:pPr>
      <w:r>
        <w:t>Director Técnico: Q.F. Laura Ramírez</w:t>
      </w:r>
    </w:p>
    <w:p w:rsidR="00DF0F97" w:rsidRDefault="00DF0F97" w:rsidP="00DF0F97">
      <w:pPr>
        <w:pStyle w:val="NormalWeb"/>
      </w:pPr>
      <w:r>
        <w:t>Reg. Prof. Nº 4.142</w:t>
      </w:r>
    </w:p>
    <w:p w:rsidR="00DF0F97" w:rsidRDefault="00DF0F97" w:rsidP="00DF0F97">
      <w:pPr>
        <w:pStyle w:val="NormalWeb"/>
      </w:pPr>
      <w:r>
        <w:t>MANTENER FUERA DEL ALCANCE DE LOS NIÑOS</w:t>
      </w:r>
    </w:p>
    <w:p w:rsidR="00AD5687" w:rsidRDefault="00AD5687"/>
    <w:sectPr w:rsidR="00AD56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97"/>
    <w:rsid w:val="00AD5687"/>
    <w:rsid w:val="00B13866"/>
    <w:rsid w:val="00DF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0A909-5BEA-4EE7-B231-CDD8680E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2021-06-11T14:41:00Z</dcterms:created>
  <dcterms:modified xsi:type="dcterms:W3CDTF">2021-06-11T14:41:00Z</dcterms:modified>
</cp:coreProperties>
</file>