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5A" w:rsidRDefault="004E6F5A" w:rsidP="004E6F5A">
      <w:pPr>
        <w:pStyle w:val="NormalWeb"/>
      </w:pPr>
      <w:r>
        <w:t>TAAC®</w:t>
      </w:r>
    </w:p>
    <w:p w:rsidR="004E6F5A" w:rsidRDefault="004E6F5A" w:rsidP="004E6F5A">
      <w:pPr>
        <w:pStyle w:val="NormalWeb"/>
      </w:pPr>
      <w:r>
        <w:t>CLORURO DE BENZALCONIO</w:t>
      </w:r>
    </w:p>
    <w:p w:rsidR="004E6F5A" w:rsidRDefault="004E6F5A" w:rsidP="004E6F5A">
      <w:pPr>
        <w:pStyle w:val="NormalWeb"/>
      </w:pPr>
      <w:r>
        <w:t>LIDOCAINA</w:t>
      </w:r>
    </w:p>
    <w:p w:rsidR="004E6F5A" w:rsidRDefault="004E6F5A" w:rsidP="004E6F5A">
      <w:pPr>
        <w:pStyle w:val="NormalWeb"/>
      </w:pPr>
      <w:r>
        <w:t xml:space="preserve">Venta Libre en Farmacia Solución Tópica </w:t>
      </w:r>
    </w:p>
    <w:p w:rsidR="004E6F5A" w:rsidRDefault="004E6F5A" w:rsidP="004E6F5A">
      <w:pPr>
        <w:pStyle w:val="NormalWeb"/>
      </w:pPr>
      <w:r>
        <w:t>Industria Paraguaya V.A.: Tópica</w:t>
      </w:r>
    </w:p>
    <w:p w:rsidR="004E6F5A" w:rsidRDefault="004E6F5A" w:rsidP="004E6F5A">
      <w:pPr>
        <w:pStyle w:val="NormalWeb"/>
      </w:pPr>
      <w:r>
        <w:t>FORMULA:</w:t>
      </w:r>
    </w:p>
    <w:p w:rsidR="004E6F5A" w:rsidRDefault="004E6F5A" w:rsidP="004E6F5A">
      <w:pPr>
        <w:pStyle w:val="NormalWeb"/>
      </w:pPr>
      <w:r>
        <w:t xml:space="preserve">Cada 100 </w:t>
      </w:r>
      <w:proofErr w:type="spellStart"/>
      <w:r>
        <w:t>mL</w:t>
      </w:r>
      <w:proofErr w:type="spellEnd"/>
      <w:r>
        <w:t xml:space="preserve"> de solución tópica contiene:</w:t>
      </w:r>
    </w:p>
    <w:p w:rsidR="004E6F5A" w:rsidRDefault="004E6F5A" w:rsidP="004E6F5A">
      <w:pPr>
        <w:pStyle w:val="NormalWeb"/>
      </w:pPr>
      <w:r>
        <w:t>Cloruro de Benzalconio..............................................................0,13 g.</w:t>
      </w:r>
    </w:p>
    <w:p w:rsidR="004E6F5A" w:rsidRDefault="004E6F5A" w:rsidP="004E6F5A">
      <w:pPr>
        <w:pStyle w:val="NormalWeb"/>
      </w:pPr>
      <w:r>
        <w:t>Lidocaína (Clorhidrato)................................................................2,1 g.</w:t>
      </w:r>
    </w:p>
    <w:p w:rsidR="004E6F5A" w:rsidRDefault="004E6F5A" w:rsidP="004E6F5A">
      <w:pPr>
        <w:pStyle w:val="NormalWeb"/>
      </w:pPr>
      <w:r>
        <w:t>Excipientes..........................................................................c.s.p.</w:t>
      </w:r>
    </w:p>
    <w:p w:rsidR="004E6F5A" w:rsidRDefault="004E6F5A" w:rsidP="004E6F5A">
      <w:pPr>
        <w:pStyle w:val="NormalWeb"/>
      </w:pPr>
      <w:r>
        <w:t>ACCION TERAPEUTICA:</w:t>
      </w:r>
    </w:p>
    <w:p w:rsidR="004E6F5A" w:rsidRDefault="004E6F5A" w:rsidP="004E6F5A">
      <w:pPr>
        <w:pStyle w:val="NormalWeb"/>
      </w:pPr>
      <w:r>
        <w:t>Solución antiséptica.</w:t>
      </w:r>
    </w:p>
    <w:p w:rsidR="004E6F5A" w:rsidRDefault="004E6F5A" w:rsidP="004E6F5A">
      <w:pPr>
        <w:pStyle w:val="NormalWeb"/>
      </w:pPr>
      <w:r>
        <w:t>MECANISMO DE ACCION Y DATOS FARMACOCINETICOS:</w:t>
      </w:r>
    </w:p>
    <w:p w:rsidR="004E6F5A" w:rsidRDefault="004E6F5A" w:rsidP="004E6F5A">
      <w:pPr>
        <w:pStyle w:val="NormalWeb"/>
      </w:pPr>
      <w:r>
        <w:t xml:space="preserve">Cloruro de </w:t>
      </w:r>
      <w:proofErr w:type="spellStart"/>
      <w:r>
        <w:t>Benzalconio</w:t>
      </w:r>
      <w:proofErr w:type="spellEnd"/>
      <w:r>
        <w:t xml:space="preserve">: Tiene propiedades antisépticas. </w:t>
      </w:r>
    </w:p>
    <w:p w:rsidR="004E6F5A" w:rsidRDefault="004E6F5A" w:rsidP="004E6F5A">
      <w:pPr>
        <w:pStyle w:val="NormalWeb"/>
      </w:pPr>
      <w:r>
        <w:t>Lidocaína: Bloquea tanto la iniciación como la conducción de los impulsos nerviosos mediante la disminución de la permeabilidad de la membrana neuronal a los iones sodio y de esta manera la estabilizan reversiblemente. Dicha acción inhibe la fase de despolarización de la membrana neuronal, dando lugar a un potencial de acción de propagación insuficiente y al consiguiente bloqueo de la conducción. Es rápidamente absorbido por la membrana mucosa y a través de la piel dañada, hacia el sistema circulatorio. La absorción a través de piel intacta es pobre. La velocidad de absorción está influida por la vascularización o la velocidad de flujo sanguíneo en el lugar de aplicación, por la dosis total administrada y el tiempo de exposición. La Lidocaína se elimina principalmente mediante metabolismo, seguida de la excreción renal de los metabolitos.</w:t>
      </w:r>
    </w:p>
    <w:p w:rsidR="004E6F5A" w:rsidRDefault="004E6F5A" w:rsidP="004E6F5A">
      <w:pPr>
        <w:pStyle w:val="NormalWeb"/>
      </w:pPr>
      <w:r>
        <w:t>INDICACIONES TERAPEUTICAS:</w:t>
      </w:r>
    </w:p>
    <w:p w:rsidR="004E6F5A" w:rsidRDefault="004E6F5A" w:rsidP="004E6F5A">
      <w:pPr>
        <w:pStyle w:val="NormalWeb"/>
      </w:pPr>
      <w:r>
        <w:t xml:space="preserve">Para tratar heridas superficiales, como antiséptico y desinfectante con agente anestésico alivia el ardor y el dolor. </w:t>
      </w:r>
    </w:p>
    <w:p w:rsidR="004E6F5A" w:rsidRDefault="004E6F5A" w:rsidP="004E6F5A">
      <w:pPr>
        <w:pStyle w:val="NormalWeb"/>
      </w:pPr>
      <w:r>
        <w:t>POSOLOGIA Y MODO DE USO:</w:t>
      </w:r>
    </w:p>
    <w:p w:rsidR="004E6F5A" w:rsidRDefault="004E6F5A" w:rsidP="004E6F5A">
      <w:pPr>
        <w:pStyle w:val="NormalWeb"/>
      </w:pPr>
      <w:r>
        <w:t>Vía de administración: Tópica exclusivamente.</w:t>
      </w:r>
    </w:p>
    <w:p w:rsidR="004E6F5A" w:rsidRDefault="004E6F5A" w:rsidP="004E6F5A">
      <w:pPr>
        <w:pStyle w:val="NormalWeb"/>
      </w:pPr>
      <w:r>
        <w:lastRenderedPageBreak/>
        <w:t>Sujete el frasco con la válvula hacia arriba. Presiónela 2 a 3 veces, manteniendo una distancia de 5 a 10 cm del área de la herida. Aplique el producto de 3 a 4 veces al día.</w:t>
      </w:r>
    </w:p>
    <w:p w:rsidR="004E6F5A" w:rsidRDefault="004E6F5A" w:rsidP="004E6F5A">
      <w:pPr>
        <w:pStyle w:val="NormalWeb"/>
      </w:pPr>
      <w:r>
        <w:t>CONTRAINDICACIONES:</w:t>
      </w:r>
    </w:p>
    <w:p w:rsidR="004E6F5A" w:rsidRDefault="004E6F5A" w:rsidP="004E6F5A">
      <w:pPr>
        <w:pStyle w:val="NormalWeb"/>
      </w:pPr>
      <w:r>
        <w:t>Hipersensibilidad a alguno de los componentes. No debe usarse en heridas profundas ni en quemaduras graves.</w:t>
      </w:r>
    </w:p>
    <w:p w:rsidR="004E6F5A" w:rsidRDefault="004E6F5A" w:rsidP="004E6F5A">
      <w:pPr>
        <w:pStyle w:val="NormalWeb"/>
      </w:pPr>
      <w:r>
        <w:t>PRECAUCIONES Y ADVERTENCIAS:</w:t>
      </w:r>
    </w:p>
    <w:p w:rsidR="004E6F5A" w:rsidRDefault="004E6F5A" w:rsidP="004E6F5A">
      <w:pPr>
        <w:pStyle w:val="NormalWeb"/>
      </w:pPr>
      <w:r>
        <w:t>Para uso externo solamente. No debe aplicarse en el oído ni mucosas. Evite el contacto con los ojos. Siga correctamente el modo de usar y si no mejoran las condiciones de la herida después de algunos días de estar usando el producto, busque la orientación de un médico. Todo medicamento debe mantenerse fuera del alcance de los niños. En caso de irritación discontinuar su uso. Si se usa apósito, es recomendable cambiar el mismo cuando esté húmedo.</w:t>
      </w:r>
    </w:p>
    <w:p w:rsidR="004E6F5A" w:rsidRDefault="004E6F5A" w:rsidP="004E6F5A">
      <w:pPr>
        <w:pStyle w:val="NormalWeb"/>
      </w:pPr>
      <w:r>
        <w:t>REACCIONES ADVERSAS Y EFECTOS COLATERALES:</w:t>
      </w:r>
    </w:p>
    <w:p w:rsidR="004E6F5A" w:rsidRDefault="004E6F5A" w:rsidP="004E6F5A">
      <w:pPr>
        <w:pStyle w:val="NormalWeb"/>
      </w:pPr>
      <w:r>
        <w:t>Irritación leve de la piel. Dermatitis por contacto.</w:t>
      </w:r>
    </w:p>
    <w:p w:rsidR="004E6F5A" w:rsidRDefault="004E6F5A" w:rsidP="004E6F5A">
      <w:pPr>
        <w:pStyle w:val="NormalWeb"/>
      </w:pPr>
      <w:r>
        <w:t>INTERACCIONES CON ALIMENTOS Y MEDICAMENTOS:</w:t>
      </w:r>
    </w:p>
    <w:p w:rsidR="004E6F5A" w:rsidRDefault="004E6F5A" w:rsidP="004E6F5A">
      <w:pPr>
        <w:pStyle w:val="NormalWeb"/>
      </w:pPr>
      <w:r>
        <w:t xml:space="preserve">Con su aplicación externa exclusivamente, no se conocen. </w:t>
      </w:r>
    </w:p>
    <w:p w:rsidR="004E6F5A" w:rsidRDefault="004E6F5A" w:rsidP="004E6F5A">
      <w:pPr>
        <w:pStyle w:val="NormalWeb"/>
      </w:pPr>
      <w:r>
        <w:t>SOBREDOSIFICACION:</w:t>
      </w:r>
    </w:p>
    <w:p w:rsidR="004E6F5A" w:rsidRDefault="004E6F5A" w:rsidP="004E6F5A">
      <w:pPr>
        <w:pStyle w:val="NormalWeb"/>
      </w:pPr>
      <w:r>
        <w:t>No se conocen, en caso que ocurriese suspender la medicación.</w:t>
      </w:r>
    </w:p>
    <w:p w:rsidR="004E6F5A" w:rsidRDefault="004E6F5A" w:rsidP="004E6F5A">
      <w:pPr>
        <w:pStyle w:val="NormalWeb"/>
      </w:pPr>
      <w:r>
        <w:t>En caso de sobredosis o ingesta accidental, consultar al Servicio de Toxicología del Hospital de EMERGENCIAS MEDICAS Tel: 220-418 o el 204-800 (</w:t>
      </w:r>
      <w:proofErr w:type="spellStart"/>
      <w:r>
        <w:t>int</w:t>
      </w:r>
      <w:proofErr w:type="spellEnd"/>
      <w:r>
        <w:t>. 011).</w:t>
      </w:r>
    </w:p>
    <w:p w:rsidR="004E6F5A" w:rsidRDefault="004E6F5A" w:rsidP="004E6F5A">
      <w:pPr>
        <w:pStyle w:val="NormalWeb"/>
      </w:pPr>
      <w:r>
        <w:t>RESTRICCIONES DE USO:</w:t>
      </w:r>
    </w:p>
    <w:p w:rsidR="004E6F5A" w:rsidRDefault="004E6F5A" w:rsidP="004E6F5A">
      <w:pPr>
        <w:pStyle w:val="NormalWeb"/>
      </w:pPr>
      <w:r>
        <w:t>Por su casi nula absorción no requiere ninguna restricción para su uso durante el embarazo o la lactancia.</w:t>
      </w:r>
    </w:p>
    <w:p w:rsidR="004E6F5A" w:rsidRDefault="004E6F5A" w:rsidP="004E6F5A">
      <w:pPr>
        <w:pStyle w:val="NormalWeb"/>
      </w:pPr>
      <w:r>
        <w:t xml:space="preserve">CONSERVACION: </w:t>
      </w:r>
    </w:p>
    <w:p w:rsidR="004E6F5A" w:rsidRDefault="004E6F5A" w:rsidP="004E6F5A">
      <w:pPr>
        <w:pStyle w:val="NormalWeb"/>
      </w:pPr>
      <w:r>
        <w:t xml:space="preserve">Almacenar a temperatura entre 15º y 30 </w:t>
      </w:r>
      <w:proofErr w:type="spellStart"/>
      <w:r>
        <w:t>ºC</w:t>
      </w:r>
      <w:proofErr w:type="spellEnd"/>
      <w:r>
        <w:t>.</w:t>
      </w:r>
    </w:p>
    <w:p w:rsidR="004E6F5A" w:rsidRDefault="004E6F5A" w:rsidP="004E6F5A">
      <w:pPr>
        <w:pStyle w:val="NormalWeb"/>
      </w:pPr>
      <w:r>
        <w:t>PRESENTACION:</w:t>
      </w:r>
    </w:p>
    <w:p w:rsidR="004E6F5A" w:rsidRDefault="004E6F5A" w:rsidP="004E6F5A">
      <w:pPr>
        <w:pStyle w:val="NormalWeb"/>
      </w:pPr>
      <w:r>
        <w:t xml:space="preserve">Caja conteniendo 50 </w:t>
      </w:r>
      <w:proofErr w:type="spellStart"/>
      <w:r>
        <w:t>mL</w:t>
      </w:r>
      <w:proofErr w:type="spellEnd"/>
      <w:r>
        <w:t xml:space="preserve"> de solución.</w:t>
      </w:r>
    </w:p>
    <w:p w:rsidR="004E6F5A" w:rsidRDefault="004E6F5A" w:rsidP="004E6F5A">
      <w:pPr>
        <w:pStyle w:val="NormalWeb"/>
      </w:pPr>
      <w:r>
        <w:t>D.T.: Q.F. Laura Ramírez</w:t>
      </w:r>
    </w:p>
    <w:p w:rsidR="004E6F5A" w:rsidRDefault="004E6F5A" w:rsidP="004E6F5A">
      <w:pPr>
        <w:pStyle w:val="NormalWeb"/>
      </w:pPr>
      <w:r>
        <w:t>Reg. Prof. N° 4142</w:t>
      </w:r>
    </w:p>
    <w:p w:rsidR="004E6F5A" w:rsidRDefault="004E6F5A" w:rsidP="004E6F5A">
      <w:pPr>
        <w:pStyle w:val="NormalWeb"/>
      </w:pPr>
      <w:r>
        <w:t>Autorizado por D.N.V.S. del M.S.P. y B.S.</w:t>
      </w:r>
    </w:p>
    <w:p w:rsidR="004E6F5A" w:rsidRDefault="004E6F5A" w:rsidP="004E6F5A">
      <w:pPr>
        <w:pStyle w:val="NormalWeb"/>
      </w:pPr>
      <w:r>
        <w:lastRenderedPageBreak/>
        <w:t>MANTENER FUERA DEL ALCANCE DE LOS NIÑOS</w:t>
      </w:r>
    </w:p>
    <w:p w:rsidR="00E655B2" w:rsidRPr="004E6F5A" w:rsidRDefault="00E655B2" w:rsidP="004E6F5A">
      <w:bookmarkStart w:id="0" w:name="_GoBack"/>
      <w:bookmarkEnd w:id="0"/>
    </w:p>
    <w:sectPr w:rsidR="00E655B2" w:rsidRPr="004E6F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5A"/>
    <w:rsid w:val="004E6F5A"/>
    <w:rsid w:val="00E655B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18CF2-2BCB-4DC2-A83B-3A270C78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E6F5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8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2020-11-24T11:53:00Z</dcterms:created>
  <dcterms:modified xsi:type="dcterms:W3CDTF">2020-11-24T11:54:00Z</dcterms:modified>
</cp:coreProperties>
</file>