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4D30" w:rsidRDefault="00EC4D30" w:rsidP="00EC4D30">
      <w:pPr>
        <w:pStyle w:val="NormalWeb"/>
      </w:pPr>
      <w:r>
        <w:t>TEMIZOL®</w:t>
      </w:r>
    </w:p>
    <w:p w:rsidR="00EC4D30" w:rsidRDefault="00EC4D30" w:rsidP="00EC4D30">
      <w:pPr>
        <w:pStyle w:val="NormalWeb"/>
      </w:pPr>
      <w:r>
        <w:t>ALBENDAZOL 400 mg</w:t>
      </w:r>
    </w:p>
    <w:p w:rsidR="00EC4D30" w:rsidRDefault="00EC4D30" w:rsidP="00EC4D30">
      <w:pPr>
        <w:pStyle w:val="NormalWeb"/>
      </w:pPr>
      <w:r>
        <w:t>Venta Bajo Receta Cápsulas/Suspensión Oral</w:t>
      </w:r>
    </w:p>
    <w:p w:rsidR="00EC4D30" w:rsidRDefault="00EC4D30" w:rsidP="00EC4D30">
      <w:pPr>
        <w:pStyle w:val="NormalWeb"/>
      </w:pPr>
      <w:r>
        <w:t>Industria Paraguaya V.A.: Oral</w:t>
      </w:r>
    </w:p>
    <w:p w:rsidR="00EC4D30" w:rsidRDefault="00EC4D30" w:rsidP="00EC4D30">
      <w:pPr>
        <w:pStyle w:val="NormalWeb"/>
      </w:pPr>
      <w:r>
        <w:t>FORMULA:</w:t>
      </w:r>
    </w:p>
    <w:p w:rsidR="00EC4D30" w:rsidRDefault="00EC4D30" w:rsidP="00EC4D30">
      <w:pPr>
        <w:pStyle w:val="NormalWeb"/>
      </w:pPr>
      <w:r>
        <w:t>Cada cápsula contiene:</w:t>
      </w:r>
    </w:p>
    <w:p w:rsidR="00EC4D30" w:rsidRDefault="00EC4D30" w:rsidP="00EC4D30">
      <w:pPr>
        <w:pStyle w:val="NormalWeb"/>
      </w:pPr>
      <w:r>
        <w:t>Albendazol........................................................................400 mg.</w:t>
      </w:r>
    </w:p>
    <w:p w:rsidR="00EC4D30" w:rsidRDefault="00EC4D30" w:rsidP="00EC4D30">
      <w:pPr>
        <w:pStyle w:val="NormalWeb"/>
      </w:pPr>
      <w:r>
        <w:t>Excipientes...........................................................................c.s.p.</w:t>
      </w:r>
    </w:p>
    <w:p w:rsidR="00EC4D30" w:rsidRDefault="00EC4D30" w:rsidP="00EC4D30">
      <w:pPr>
        <w:pStyle w:val="NormalWeb"/>
      </w:pPr>
      <w:r>
        <w:t>FORMULA:</w:t>
      </w:r>
    </w:p>
    <w:p w:rsidR="00EC4D30" w:rsidRDefault="00EC4D30" w:rsidP="00EC4D30">
      <w:pPr>
        <w:pStyle w:val="NormalWeb"/>
      </w:pPr>
      <w:r>
        <w:t xml:space="preserve">Cada 10 </w:t>
      </w:r>
      <w:proofErr w:type="spellStart"/>
      <w:r>
        <w:t>mL</w:t>
      </w:r>
      <w:proofErr w:type="spellEnd"/>
      <w:r>
        <w:t xml:space="preserve"> contiene:</w:t>
      </w:r>
    </w:p>
    <w:p w:rsidR="00EC4D30" w:rsidRDefault="00EC4D30" w:rsidP="00EC4D30">
      <w:pPr>
        <w:pStyle w:val="NormalWeb"/>
      </w:pPr>
      <w:r>
        <w:t>Albendazol........................................................................400 mg.</w:t>
      </w:r>
    </w:p>
    <w:p w:rsidR="00EC4D30" w:rsidRDefault="00EC4D30" w:rsidP="00EC4D30">
      <w:pPr>
        <w:pStyle w:val="NormalWeb"/>
      </w:pPr>
      <w:r>
        <w:t>Excipientes...........................................................................c.s.p.</w:t>
      </w:r>
    </w:p>
    <w:p w:rsidR="00EC4D30" w:rsidRDefault="00EC4D30" w:rsidP="00EC4D30">
      <w:pPr>
        <w:pStyle w:val="NormalWeb"/>
      </w:pPr>
      <w:r>
        <w:t>No Contiene Azúcar</w:t>
      </w:r>
    </w:p>
    <w:p w:rsidR="00EC4D30" w:rsidRDefault="00EC4D30" w:rsidP="00EC4D30">
      <w:pPr>
        <w:pStyle w:val="NormalWeb"/>
      </w:pPr>
      <w:r>
        <w:t>FORMULA:</w:t>
      </w:r>
    </w:p>
    <w:p w:rsidR="00EC4D30" w:rsidRDefault="00EC4D30" w:rsidP="00EC4D30">
      <w:pPr>
        <w:pStyle w:val="NormalWeb"/>
      </w:pPr>
      <w:r>
        <w:t xml:space="preserve">Cada 15 </w:t>
      </w:r>
      <w:proofErr w:type="spellStart"/>
      <w:r>
        <w:t>mL</w:t>
      </w:r>
      <w:proofErr w:type="spellEnd"/>
      <w:r>
        <w:t xml:space="preserve"> contiene:</w:t>
      </w:r>
    </w:p>
    <w:p w:rsidR="00EC4D30" w:rsidRDefault="00EC4D30" w:rsidP="00EC4D30">
      <w:pPr>
        <w:pStyle w:val="NormalWeb"/>
      </w:pPr>
      <w:r>
        <w:t>Albendazol........................................................................400 mg.</w:t>
      </w:r>
    </w:p>
    <w:p w:rsidR="00EC4D30" w:rsidRDefault="00EC4D30" w:rsidP="00EC4D30">
      <w:pPr>
        <w:pStyle w:val="NormalWeb"/>
      </w:pPr>
      <w:r>
        <w:t>Excipientes...........................................................................c.s.p.</w:t>
      </w:r>
    </w:p>
    <w:p w:rsidR="00EC4D30" w:rsidRDefault="00EC4D30" w:rsidP="00EC4D30">
      <w:pPr>
        <w:pStyle w:val="NormalWeb"/>
      </w:pPr>
      <w:r>
        <w:t>No Contiene Azúcar</w:t>
      </w:r>
    </w:p>
    <w:p w:rsidR="00EC4D30" w:rsidRDefault="00EC4D30" w:rsidP="00EC4D30">
      <w:pPr>
        <w:pStyle w:val="NormalWeb"/>
      </w:pPr>
      <w:r>
        <w:t>ACCION TERAPEUTICA:</w:t>
      </w:r>
    </w:p>
    <w:p w:rsidR="00EC4D30" w:rsidRDefault="00EC4D30" w:rsidP="00EC4D30">
      <w:pPr>
        <w:pStyle w:val="NormalWeb"/>
      </w:pPr>
      <w:r>
        <w:t>Antihelmíntico.</w:t>
      </w:r>
    </w:p>
    <w:p w:rsidR="00EC4D30" w:rsidRDefault="00EC4D30" w:rsidP="00EC4D30">
      <w:pPr>
        <w:pStyle w:val="NormalWeb"/>
      </w:pPr>
      <w:r>
        <w:t>MECANISMO DE ACCION Y DATOS FARMACOCINETICOS:</w:t>
      </w:r>
    </w:p>
    <w:p w:rsidR="00EC4D30" w:rsidRDefault="00EC4D30" w:rsidP="00EC4D30">
      <w:pPr>
        <w:pStyle w:val="NormalWeb"/>
      </w:pPr>
      <w:r>
        <w:t xml:space="preserve">Es un antihelmíntico </w:t>
      </w:r>
      <w:proofErr w:type="spellStart"/>
      <w:r>
        <w:t>benzimidazólico</w:t>
      </w:r>
      <w:proofErr w:type="spellEnd"/>
      <w:r>
        <w:t xml:space="preserve"> que posee actividad frente a trematodos, cestodos y nematodos. Su mecanismo de acción no involucra ciertas alteraciones en la captación y la utilización de los hidratos de carbono por el parásito. La absorción digestiva del </w:t>
      </w:r>
      <w:proofErr w:type="spellStart"/>
      <w:r>
        <w:t>Albendazol</w:t>
      </w:r>
      <w:proofErr w:type="spellEnd"/>
      <w:r>
        <w:t xml:space="preserve"> es moderada, por lo cual se lo está utilizando en otras localizaciones parasitarias como ser hidatidosis hepática y pulmonar. No bien absorbido se transforma en su metabolito activo el </w:t>
      </w:r>
      <w:proofErr w:type="spellStart"/>
      <w:r>
        <w:t>Albendazol</w:t>
      </w:r>
      <w:proofErr w:type="spellEnd"/>
      <w:r>
        <w:t xml:space="preserve"> </w:t>
      </w:r>
      <w:proofErr w:type="spellStart"/>
      <w:r>
        <w:t>Sulfóxido</w:t>
      </w:r>
      <w:proofErr w:type="spellEnd"/>
      <w:r>
        <w:t xml:space="preserve"> (vida media de 8 1/2 horas) que se excreta inalterado por vía digestiva, por lo que el efecto antiparasitario se realiza en la luz intestinal y a nivel sistémico.</w:t>
      </w:r>
    </w:p>
    <w:p w:rsidR="00EC4D30" w:rsidRDefault="00EC4D30" w:rsidP="00EC4D30">
      <w:pPr>
        <w:pStyle w:val="NormalWeb"/>
      </w:pPr>
      <w:r>
        <w:lastRenderedPageBreak/>
        <w:t>INDICACIONES TERAPEUTICAS:</w:t>
      </w:r>
    </w:p>
    <w:p w:rsidR="00EC4D30" w:rsidRDefault="00EC4D30" w:rsidP="00EC4D30">
      <w:pPr>
        <w:pStyle w:val="NormalWeb"/>
      </w:pPr>
      <w:r>
        <w:t xml:space="preserve">El </w:t>
      </w:r>
      <w:proofErr w:type="spellStart"/>
      <w:r>
        <w:t>Albendazol</w:t>
      </w:r>
      <w:proofErr w:type="spellEnd"/>
      <w:r>
        <w:t xml:space="preserve"> está indicado en el tratamiento de parasitosis intestinales únicas o múltiples.</w:t>
      </w:r>
    </w:p>
    <w:p w:rsidR="00EC4D30" w:rsidRDefault="00EC4D30" w:rsidP="00EC4D30">
      <w:pPr>
        <w:pStyle w:val="NormalWeb"/>
      </w:pPr>
      <w:r>
        <w:t xml:space="preserve">El </w:t>
      </w:r>
      <w:proofErr w:type="spellStart"/>
      <w:r>
        <w:t>Albendazol</w:t>
      </w:r>
      <w:proofErr w:type="spellEnd"/>
      <w:r>
        <w:t xml:space="preserve"> es efectivo en el tratamiento de: </w:t>
      </w:r>
      <w:proofErr w:type="spellStart"/>
      <w:r>
        <w:t>Ascaris</w:t>
      </w:r>
      <w:proofErr w:type="spellEnd"/>
      <w:r>
        <w:t xml:space="preserve"> </w:t>
      </w:r>
      <w:proofErr w:type="spellStart"/>
      <w:r>
        <w:t>lumbricoides</w:t>
      </w:r>
      <w:proofErr w:type="spellEnd"/>
      <w:r>
        <w:t xml:space="preserve"> (</w:t>
      </w:r>
      <w:proofErr w:type="spellStart"/>
      <w:r>
        <w:t>Ascariasis</w:t>
      </w:r>
      <w:proofErr w:type="spellEnd"/>
      <w:r>
        <w:t xml:space="preserve">) - </w:t>
      </w:r>
      <w:proofErr w:type="spellStart"/>
      <w:r>
        <w:t>Trichuris</w:t>
      </w:r>
      <w:proofErr w:type="spellEnd"/>
      <w:r>
        <w:t xml:space="preserve"> </w:t>
      </w:r>
      <w:proofErr w:type="spellStart"/>
      <w:r>
        <w:t>trichiura</w:t>
      </w:r>
      <w:proofErr w:type="spellEnd"/>
      <w:r>
        <w:t xml:space="preserve"> (</w:t>
      </w:r>
      <w:proofErr w:type="spellStart"/>
      <w:r>
        <w:t>Tricocefalosis</w:t>
      </w:r>
      <w:proofErr w:type="spellEnd"/>
      <w:r>
        <w:t>) -</w:t>
      </w:r>
      <w:proofErr w:type="spellStart"/>
      <w:r>
        <w:t>Enterobius</w:t>
      </w:r>
      <w:proofErr w:type="spellEnd"/>
      <w:r>
        <w:t xml:space="preserve"> </w:t>
      </w:r>
      <w:proofErr w:type="spellStart"/>
      <w:r>
        <w:t>vermicularis</w:t>
      </w:r>
      <w:proofErr w:type="spellEnd"/>
      <w:r>
        <w:t xml:space="preserve"> (</w:t>
      </w:r>
      <w:proofErr w:type="spellStart"/>
      <w:r>
        <w:t>Enterobiasis</w:t>
      </w:r>
      <w:proofErr w:type="spellEnd"/>
      <w:r>
        <w:t xml:space="preserve">) - </w:t>
      </w:r>
      <w:proofErr w:type="spellStart"/>
      <w:r>
        <w:t>Ancylostoma</w:t>
      </w:r>
      <w:proofErr w:type="spellEnd"/>
      <w:r>
        <w:t xml:space="preserve"> </w:t>
      </w:r>
      <w:proofErr w:type="spellStart"/>
      <w:r>
        <w:t>duodenale</w:t>
      </w:r>
      <w:proofErr w:type="spellEnd"/>
      <w:r>
        <w:t xml:space="preserve"> y </w:t>
      </w:r>
      <w:proofErr w:type="spellStart"/>
      <w:r>
        <w:t>Necator</w:t>
      </w:r>
      <w:proofErr w:type="spellEnd"/>
      <w:r>
        <w:t xml:space="preserve"> americano (</w:t>
      </w:r>
      <w:proofErr w:type="spellStart"/>
      <w:r>
        <w:t>Uncinariasis</w:t>
      </w:r>
      <w:proofErr w:type="spellEnd"/>
      <w:r>
        <w:t xml:space="preserve">) - Tenia (Teniasis) - </w:t>
      </w:r>
      <w:proofErr w:type="spellStart"/>
      <w:r>
        <w:t>Strongyloides</w:t>
      </w:r>
      <w:proofErr w:type="spellEnd"/>
      <w:r>
        <w:t xml:space="preserve"> </w:t>
      </w:r>
      <w:proofErr w:type="spellStart"/>
      <w:r>
        <w:t>stercoralis</w:t>
      </w:r>
      <w:proofErr w:type="spellEnd"/>
      <w:r>
        <w:t xml:space="preserve"> (</w:t>
      </w:r>
      <w:proofErr w:type="spellStart"/>
      <w:r>
        <w:t>Estrongiloidiasis</w:t>
      </w:r>
      <w:proofErr w:type="spellEnd"/>
      <w:r>
        <w:t>).</w:t>
      </w:r>
    </w:p>
    <w:p w:rsidR="00EC4D30" w:rsidRDefault="00EC4D30" w:rsidP="00EC4D30">
      <w:pPr>
        <w:pStyle w:val="NormalWeb"/>
      </w:pPr>
      <w:r>
        <w:t>POSOLOGÍA:</w:t>
      </w:r>
    </w:p>
    <w:p w:rsidR="00EC4D30" w:rsidRDefault="00EC4D30" w:rsidP="00EC4D30">
      <w:pPr>
        <w:pStyle w:val="NormalWeb"/>
      </w:pPr>
      <w:r>
        <w:t>Vía de administración: Oral.</w:t>
      </w:r>
    </w:p>
    <w:p w:rsidR="00EC4D30" w:rsidRDefault="00EC4D30" w:rsidP="00EC4D30">
      <w:pPr>
        <w:pStyle w:val="NormalWeb"/>
      </w:pPr>
      <w:r>
        <w:t xml:space="preserve">Dosis: Helmintiasis: Adultos: 400 mg por 3 días. Equivalente a 1 cápsula, 15 </w:t>
      </w:r>
      <w:proofErr w:type="spellStart"/>
      <w:r>
        <w:t>mL</w:t>
      </w:r>
      <w:proofErr w:type="spellEnd"/>
      <w:r>
        <w:t xml:space="preserve"> de suspensión oral o 1 ampolla bebible por día durante 3 días. Niños mayores de 2 años: 400 mg/día por 3 días.</w:t>
      </w:r>
    </w:p>
    <w:p w:rsidR="00EC4D30" w:rsidRDefault="00EC4D30" w:rsidP="00EC4D30">
      <w:pPr>
        <w:pStyle w:val="NormalWeb"/>
      </w:pPr>
      <w:proofErr w:type="spellStart"/>
      <w:r>
        <w:t>Giardiasis</w:t>
      </w:r>
      <w:proofErr w:type="spellEnd"/>
      <w:r>
        <w:t xml:space="preserve">: Adultos: 400 mg por 5 días. Equivalente a 1 cápsula, 15 </w:t>
      </w:r>
      <w:proofErr w:type="spellStart"/>
      <w:r>
        <w:t>mL</w:t>
      </w:r>
      <w:proofErr w:type="spellEnd"/>
      <w:r>
        <w:t xml:space="preserve"> de suspensión oral o 1 ampolla bebible por día durante 5 días. Niños mayores de 2 años: 400 mg/día por 5 días.</w:t>
      </w:r>
    </w:p>
    <w:p w:rsidR="00EC4D30" w:rsidRDefault="00EC4D30" w:rsidP="00EC4D30">
      <w:pPr>
        <w:pStyle w:val="NormalWeb"/>
      </w:pPr>
      <w:r>
        <w:t xml:space="preserve">Regímenes especiales: </w:t>
      </w:r>
      <w:proofErr w:type="spellStart"/>
      <w:r>
        <w:t>Neurocisticercosis</w:t>
      </w:r>
      <w:proofErr w:type="spellEnd"/>
      <w:r>
        <w:t>: Dosis: 800 mg/día, fraccionado, por 8 días.</w:t>
      </w:r>
    </w:p>
    <w:p w:rsidR="00EC4D30" w:rsidRDefault="00EC4D30" w:rsidP="00EC4D30">
      <w:pPr>
        <w:pStyle w:val="NormalWeb"/>
      </w:pPr>
      <w:r>
        <w:t xml:space="preserve">Se recomienda cada 12 </w:t>
      </w:r>
      <w:proofErr w:type="spellStart"/>
      <w:r>
        <w:t>hs</w:t>
      </w:r>
      <w:proofErr w:type="spellEnd"/>
      <w:r>
        <w:t>.</w:t>
      </w:r>
    </w:p>
    <w:p w:rsidR="00EC4D30" w:rsidRDefault="00EC4D30" w:rsidP="00EC4D30">
      <w:pPr>
        <w:pStyle w:val="NormalWeb"/>
      </w:pPr>
      <w:r>
        <w:t xml:space="preserve">Se recomienda asociar con </w:t>
      </w:r>
      <w:proofErr w:type="spellStart"/>
      <w:r>
        <w:t>corticosteroides</w:t>
      </w:r>
      <w:proofErr w:type="spellEnd"/>
      <w:r>
        <w:t xml:space="preserve"> para disminuir los efectos inflamatorios de los cisticercos destruidos.</w:t>
      </w:r>
    </w:p>
    <w:p w:rsidR="00EC4D30" w:rsidRDefault="00EC4D30" w:rsidP="00EC4D30">
      <w:pPr>
        <w:pStyle w:val="NormalWeb"/>
      </w:pPr>
      <w:r>
        <w:t xml:space="preserve">Hidatidosis quística: Como tratamiento </w:t>
      </w:r>
      <w:proofErr w:type="spellStart"/>
      <w:r>
        <w:t>quimioterápico</w:t>
      </w:r>
      <w:proofErr w:type="spellEnd"/>
      <w:r>
        <w:t xml:space="preserve"> solo o asociado a cirugía. Dosis: 800 mg/día, fraccionado, por 28 días, se repite 3 a 4 veces con 2 semanas de intervalo. Equivalente a 1 cápsula, 15 </w:t>
      </w:r>
      <w:proofErr w:type="spellStart"/>
      <w:r>
        <w:t>mL</w:t>
      </w:r>
      <w:proofErr w:type="spellEnd"/>
      <w:r>
        <w:t xml:space="preserve"> de suspensión oral o 1 ampolla bebible cada 12 horas por 28 días, se repite 3 a 4 veces con 2 semanas de intervalo.</w:t>
      </w:r>
    </w:p>
    <w:p w:rsidR="00EC4D30" w:rsidRDefault="00EC4D30" w:rsidP="00EC4D30">
      <w:pPr>
        <w:pStyle w:val="NormalWeb"/>
      </w:pPr>
      <w:r>
        <w:t>Se aconseja el tratamiento en conjunto de todos los miembros de la familia afectada.</w:t>
      </w:r>
    </w:p>
    <w:p w:rsidR="00EC4D30" w:rsidRDefault="00EC4D30" w:rsidP="00EC4D30">
      <w:pPr>
        <w:pStyle w:val="NormalWeb"/>
      </w:pPr>
      <w:r>
        <w:t>Ingerir las ampollas bebibles con preferencia luego de algún alimento rico en grasas para mejorar la absorción. Agitar bien antes de usar</w:t>
      </w:r>
    </w:p>
    <w:p w:rsidR="00EC4D30" w:rsidRDefault="00EC4D30" w:rsidP="00EC4D30">
      <w:pPr>
        <w:pStyle w:val="NormalWeb"/>
      </w:pPr>
      <w:r>
        <w:t>CONTRAINDICACIONES:</w:t>
      </w:r>
    </w:p>
    <w:p w:rsidR="00EC4D30" w:rsidRDefault="00EC4D30" w:rsidP="00EC4D30">
      <w:pPr>
        <w:pStyle w:val="NormalWeb"/>
      </w:pPr>
      <w:r>
        <w:t xml:space="preserve">Embarazo. Lactancia. Epilepsia. Hipersensibilidad hacia los derivados </w:t>
      </w:r>
      <w:proofErr w:type="spellStart"/>
      <w:r>
        <w:t>benzimidazólicos</w:t>
      </w:r>
      <w:proofErr w:type="spellEnd"/>
      <w:r>
        <w:t>.</w:t>
      </w:r>
    </w:p>
    <w:p w:rsidR="00EC4D30" w:rsidRDefault="00EC4D30" w:rsidP="00EC4D30">
      <w:pPr>
        <w:pStyle w:val="NormalWeb"/>
      </w:pPr>
      <w:r>
        <w:t>PRECAUCIONES Y ADVERTENCIAS:</w:t>
      </w:r>
    </w:p>
    <w:p w:rsidR="00EC4D30" w:rsidRDefault="00EC4D30" w:rsidP="00EC4D30">
      <w:pPr>
        <w:pStyle w:val="NormalWeb"/>
      </w:pPr>
      <w:r>
        <w:t xml:space="preserve">El tratamiento con </w:t>
      </w:r>
      <w:proofErr w:type="spellStart"/>
      <w:r>
        <w:t>Albendazol</w:t>
      </w:r>
      <w:proofErr w:type="spellEnd"/>
      <w:r>
        <w:t xml:space="preserve"> se ha asociado con elevaciones leves a moderadas de las enzimas hepáticas en aproximadamente el 16% de los pacientes. Estas elevaciones se normalizaron al interrumpir el tratamiento. Por tanto, se recomienda realizar pruebas de función hepática antes de comenzar cada ciclo de tratamiento y, al menos, cada dos </w:t>
      </w:r>
      <w:r>
        <w:lastRenderedPageBreak/>
        <w:t xml:space="preserve">semanas durante el mismo. Si las enzimas aumentan significativamente (más de dos veces el límite superior de la normalidad), debe interrumpirse el tratamiento. El tratamiento con </w:t>
      </w:r>
      <w:proofErr w:type="spellStart"/>
      <w:r>
        <w:t>Albendazol</w:t>
      </w:r>
      <w:proofErr w:type="spellEnd"/>
      <w:r>
        <w:t xml:space="preserve"> se puede reinstaurar cuando las enzimas hepáticas hayan retornado a la normalidad. No obstante, deben realizarse más frecuentemente pruebas de laboratorio durante los ciclos repetidos de tratamiento.</w:t>
      </w:r>
    </w:p>
    <w:p w:rsidR="00EC4D30" w:rsidRDefault="00EC4D30" w:rsidP="00EC4D30">
      <w:pPr>
        <w:pStyle w:val="NormalWeb"/>
      </w:pPr>
      <w:r>
        <w:t xml:space="preserve">Los pacientes que están tratados de </w:t>
      </w:r>
      <w:proofErr w:type="spellStart"/>
      <w:r>
        <w:t>neurocisticercosis</w:t>
      </w:r>
      <w:proofErr w:type="spellEnd"/>
      <w:r>
        <w:t xml:space="preserve"> deben recibir el tratamiento anticonvulsivante y de medicación esteroide según la necesidad. Durante la primera semana de tratamiento se deben administrar </w:t>
      </w:r>
      <w:proofErr w:type="spellStart"/>
      <w:r>
        <w:t>corticosteroides</w:t>
      </w:r>
      <w:proofErr w:type="spellEnd"/>
      <w:r>
        <w:t xml:space="preserve"> por vía oral o intravenosa para prevenir los episodios de hipertensión cerebral.</w:t>
      </w:r>
    </w:p>
    <w:p w:rsidR="00EC4D30" w:rsidRDefault="00EC4D30" w:rsidP="00EC4D30">
      <w:pPr>
        <w:pStyle w:val="NormalWeb"/>
      </w:pPr>
      <w:r>
        <w:t xml:space="preserve">En los raros casos de </w:t>
      </w:r>
      <w:proofErr w:type="spellStart"/>
      <w:r>
        <w:t>neurocisticercosis</w:t>
      </w:r>
      <w:proofErr w:type="spellEnd"/>
      <w:r>
        <w:t xml:space="preserve"> en retina, antes de empezar el tratamiento, se debe vigilar si existen lesiones en la retina del paciente. En caso de que estas lesiones se visualicen, se debe valorar el beneficio de la terapia frente a los posibles efectos colaterales.</w:t>
      </w:r>
    </w:p>
    <w:p w:rsidR="00EC4D30" w:rsidRDefault="00EC4D30" w:rsidP="00EC4D30">
      <w:pPr>
        <w:pStyle w:val="NormalWeb"/>
      </w:pPr>
      <w:r>
        <w:t xml:space="preserve">Se ha observado que </w:t>
      </w:r>
      <w:proofErr w:type="spellStart"/>
      <w:r>
        <w:t>Albendazol</w:t>
      </w:r>
      <w:proofErr w:type="spellEnd"/>
      <w:r>
        <w:t xml:space="preserve"> ocasiona reducciones reversibles del recuento leucocitario. Deben realizarse, por tanto, recuentos sanguíneos al comienzo del tratamiento y cada dos semanas durante el mismo. Puede continuarse con el tratamiento si la disminución en el recuento es leve y no progrese.</w:t>
      </w:r>
    </w:p>
    <w:p w:rsidR="00EC4D30" w:rsidRDefault="00EC4D30" w:rsidP="00EC4D30">
      <w:pPr>
        <w:pStyle w:val="NormalWeb"/>
      </w:pPr>
      <w:r>
        <w:t xml:space="preserve">Los pacientes que presenten resultados anormales de función hepática antes de comenzar el tratamiento, deben vigilarse estrechamente por el potencial </w:t>
      </w:r>
      <w:proofErr w:type="spellStart"/>
      <w:r>
        <w:t>hepatotóxico</w:t>
      </w:r>
      <w:proofErr w:type="spellEnd"/>
      <w:r>
        <w:t xml:space="preserve"> del </w:t>
      </w:r>
      <w:proofErr w:type="spellStart"/>
      <w:r>
        <w:t>Albendazol</w:t>
      </w:r>
      <w:proofErr w:type="spellEnd"/>
      <w:r>
        <w:t>.</w:t>
      </w:r>
    </w:p>
    <w:p w:rsidR="00EC4D30" w:rsidRDefault="00EC4D30" w:rsidP="00EC4D30">
      <w:pPr>
        <w:pStyle w:val="NormalWeb"/>
      </w:pPr>
      <w:r>
        <w:t>REACCIONES ADVERSAS Y EFECTOS COLATERALES:</w:t>
      </w:r>
    </w:p>
    <w:p w:rsidR="00EC4D30" w:rsidRDefault="00EC4D30" w:rsidP="00EC4D30">
      <w:pPr>
        <w:pStyle w:val="NormalWeb"/>
      </w:pPr>
      <w:r>
        <w:t>Es bien tolerado a las dosis recomendadas. Se han registrado casos de molestias gastrointestinales, dolores de cabeza, vértigo, prurito, vómitos, diarrea, dolores epigástricos, boca seca.</w:t>
      </w:r>
    </w:p>
    <w:p w:rsidR="00EC4D30" w:rsidRDefault="00EC4D30" w:rsidP="00EC4D30">
      <w:pPr>
        <w:pStyle w:val="NormalWeb"/>
      </w:pPr>
      <w:r>
        <w:t>INTERACCIONES CON ALIMENTOS Y MEDICAMENTOS:</w:t>
      </w:r>
    </w:p>
    <w:p w:rsidR="00EC4D30" w:rsidRDefault="00EC4D30" w:rsidP="00EC4D30">
      <w:pPr>
        <w:pStyle w:val="NormalWeb"/>
      </w:pPr>
      <w:r>
        <w:t xml:space="preserve">Se ha observado que la Cimetidina, el </w:t>
      </w:r>
      <w:proofErr w:type="spellStart"/>
      <w:r>
        <w:t>Praziquantel</w:t>
      </w:r>
      <w:proofErr w:type="spellEnd"/>
      <w:r>
        <w:t xml:space="preserve"> y la </w:t>
      </w:r>
      <w:proofErr w:type="spellStart"/>
      <w:r>
        <w:t>Dexametasona</w:t>
      </w:r>
      <w:proofErr w:type="spellEnd"/>
      <w:r>
        <w:t xml:space="preserve"> aumentan los niveles plasmáticos del metabolito activo del </w:t>
      </w:r>
      <w:proofErr w:type="spellStart"/>
      <w:r>
        <w:t>Albendazol</w:t>
      </w:r>
      <w:proofErr w:type="spellEnd"/>
      <w:r>
        <w:t>.</w:t>
      </w:r>
    </w:p>
    <w:p w:rsidR="00EC4D30" w:rsidRDefault="00EC4D30" w:rsidP="00EC4D30">
      <w:pPr>
        <w:pStyle w:val="NormalWeb"/>
      </w:pPr>
      <w:r>
        <w:t>SOBREDOSIFICACION:</w:t>
      </w:r>
    </w:p>
    <w:p w:rsidR="00EC4D30" w:rsidRDefault="00EC4D30" w:rsidP="00EC4D30">
      <w:pPr>
        <w:pStyle w:val="NormalWeb"/>
      </w:pPr>
      <w:r>
        <w:t>En caso de sobredosis, se debe realizar terapia sintomática (lavado gástrico) y tomar medidas de soporte generales.</w:t>
      </w:r>
    </w:p>
    <w:p w:rsidR="00EC4D30" w:rsidRDefault="00EC4D30" w:rsidP="00EC4D30">
      <w:pPr>
        <w:pStyle w:val="NormalWeb"/>
      </w:pPr>
      <w:r>
        <w:t xml:space="preserve">Los casos de sobredosificación pueden cursar con diarrea, vómito, taquicardia y </w:t>
      </w:r>
      <w:proofErr w:type="spellStart"/>
      <w:r>
        <w:t>distress</w:t>
      </w:r>
      <w:proofErr w:type="spellEnd"/>
      <w:r>
        <w:t xml:space="preserve"> respiratorio.</w:t>
      </w:r>
    </w:p>
    <w:p w:rsidR="00EC4D30" w:rsidRDefault="00EC4D30" w:rsidP="00EC4D30">
      <w:pPr>
        <w:pStyle w:val="NormalWeb"/>
      </w:pPr>
      <w:r>
        <w:t>En caso de sobredosis o ingestión accidental, consultar al Servicio de Toxicología del Hospital de EMERGENCIAS MEDICAS Tel.: 220-418 o el 204-800 (</w:t>
      </w:r>
      <w:proofErr w:type="spellStart"/>
      <w:r>
        <w:t>int</w:t>
      </w:r>
      <w:proofErr w:type="spellEnd"/>
      <w:r>
        <w:t>. 011).</w:t>
      </w:r>
    </w:p>
    <w:p w:rsidR="00EC4D30" w:rsidRDefault="00EC4D30" w:rsidP="00EC4D30">
      <w:pPr>
        <w:pStyle w:val="NormalWeb"/>
      </w:pPr>
      <w:r>
        <w:t>RESTRICCIONES DE USO:</w:t>
      </w:r>
    </w:p>
    <w:p w:rsidR="00EC4D30" w:rsidRDefault="00EC4D30" w:rsidP="00EC4D30">
      <w:pPr>
        <w:pStyle w:val="NormalWeb"/>
      </w:pPr>
      <w:r>
        <w:lastRenderedPageBreak/>
        <w:t xml:space="preserve">Se recomienda no consumir durante el embarazo. El amamantamiento deberá suspenderse si la madre va a recibir la droga. </w:t>
      </w:r>
    </w:p>
    <w:p w:rsidR="00EC4D30" w:rsidRDefault="00EC4D30" w:rsidP="00EC4D30">
      <w:pPr>
        <w:pStyle w:val="NormalWeb"/>
      </w:pPr>
      <w:r>
        <w:t>CONSERVACION:</w:t>
      </w:r>
    </w:p>
    <w:p w:rsidR="00EC4D30" w:rsidRDefault="00EC4D30" w:rsidP="00EC4D30">
      <w:pPr>
        <w:pStyle w:val="NormalWeb"/>
      </w:pPr>
      <w:r>
        <w:t>Almacenar a temperatura entre 15° y 30 °C.</w:t>
      </w:r>
    </w:p>
    <w:p w:rsidR="00EC4D30" w:rsidRDefault="00EC4D30" w:rsidP="00EC4D30">
      <w:pPr>
        <w:pStyle w:val="NormalWeb"/>
      </w:pPr>
      <w:r>
        <w:t>PRESENTACIONES:</w:t>
      </w:r>
    </w:p>
    <w:p w:rsidR="00EC4D30" w:rsidRDefault="00EC4D30" w:rsidP="00EC4D30">
      <w:pPr>
        <w:pStyle w:val="NormalWeb"/>
      </w:pPr>
      <w:r>
        <w:t>Caja conteniendo 8 cápsulas</w:t>
      </w:r>
    </w:p>
    <w:p w:rsidR="00EC4D30" w:rsidRDefault="00EC4D30" w:rsidP="00EC4D30">
      <w:pPr>
        <w:pStyle w:val="NormalWeb"/>
      </w:pPr>
      <w:r>
        <w:t xml:space="preserve">Caja conteniendo 5 frascos ampollas bebibles de 10 </w:t>
      </w:r>
      <w:proofErr w:type="spellStart"/>
      <w:r>
        <w:t>mL</w:t>
      </w:r>
      <w:proofErr w:type="spellEnd"/>
      <w:r>
        <w:t xml:space="preserve"> de suspensión. (Agitar antes de usar).</w:t>
      </w:r>
    </w:p>
    <w:p w:rsidR="00EC4D30" w:rsidRDefault="00EC4D30" w:rsidP="00EC4D30">
      <w:pPr>
        <w:pStyle w:val="NormalWeb"/>
      </w:pPr>
      <w:r>
        <w:t xml:space="preserve">Caja conteniendo 1 frasco con 45 </w:t>
      </w:r>
      <w:proofErr w:type="spellStart"/>
      <w:r>
        <w:t>mL</w:t>
      </w:r>
      <w:proofErr w:type="spellEnd"/>
      <w:r>
        <w:t xml:space="preserve"> de suspensión. (Agitar antes de usar).</w:t>
      </w:r>
    </w:p>
    <w:p w:rsidR="00EC4D30" w:rsidRDefault="00EC4D30" w:rsidP="00EC4D30">
      <w:pPr>
        <w:pStyle w:val="NormalWeb"/>
      </w:pPr>
      <w:r>
        <w:t>Si Ud. es deportista y está sometido al control de doping, no consuma éstos productos sin consultar a su médico.</w:t>
      </w:r>
    </w:p>
    <w:p w:rsidR="00EC4D30" w:rsidRDefault="00EC4D30" w:rsidP="00EC4D30">
      <w:pPr>
        <w:pStyle w:val="NormalWeb"/>
      </w:pPr>
      <w:r>
        <w:t>Estos medicamentos deben ser utilizados únicamente por prescripción médica, y no podrán repetirse sin nueva indicación del facultativo.</w:t>
      </w:r>
    </w:p>
    <w:p w:rsidR="00EC4D30" w:rsidRDefault="00EC4D30" w:rsidP="00EC4D30">
      <w:pPr>
        <w:pStyle w:val="NormalWeb"/>
      </w:pPr>
      <w:r>
        <w:t>En caso de uso de éstos medicamentos sin prescripción médica, la ocurrencia de efectos adversos e indeseables será de exclusiva responsabilidad de quien lo consuma.</w:t>
      </w:r>
    </w:p>
    <w:p w:rsidR="00EC4D30" w:rsidRDefault="00EC4D30" w:rsidP="00EC4D30">
      <w:pPr>
        <w:pStyle w:val="NormalWeb"/>
      </w:pPr>
      <w:r>
        <w:t>Director Técnico: Q.F. Laura Ramírez</w:t>
      </w:r>
    </w:p>
    <w:p w:rsidR="00EC4D30" w:rsidRDefault="00EC4D30" w:rsidP="00EC4D30">
      <w:pPr>
        <w:pStyle w:val="NormalWeb"/>
      </w:pPr>
      <w:r>
        <w:t>Reg. Prof. Nº 4.142</w:t>
      </w:r>
    </w:p>
    <w:p w:rsidR="00EC4D30" w:rsidRDefault="00EC4D30" w:rsidP="00EC4D30">
      <w:pPr>
        <w:pStyle w:val="NormalWeb"/>
      </w:pPr>
      <w:r>
        <w:t>Autorizado por D.N.V.S. del M.S.P. y B.S.</w:t>
      </w:r>
    </w:p>
    <w:p w:rsidR="00EC4D30" w:rsidRDefault="00EC4D30" w:rsidP="00EC4D30">
      <w:pPr>
        <w:pStyle w:val="NormalWeb"/>
      </w:pPr>
      <w:r>
        <w:t>MANTENER FUERA DEL ALCANCE DE LOS NIÑOS</w:t>
      </w:r>
    </w:p>
    <w:p w:rsidR="00AD5687" w:rsidRPr="00EC4D30" w:rsidRDefault="00AD5687" w:rsidP="00EC4D30">
      <w:bookmarkStart w:id="0" w:name="_GoBack"/>
      <w:bookmarkEnd w:id="0"/>
    </w:p>
    <w:sectPr w:rsidR="00AD5687" w:rsidRPr="00EC4D3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F97"/>
    <w:rsid w:val="00AD5687"/>
    <w:rsid w:val="00DF0F97"/>
    <w:rsid w:val="00EC4D30"/>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F0A909-5BEA-4EE7-B231-CDD8680E0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F0F97"/>
    <w:pPr>
      <w:spacing w:before="100" w:beforeAutospacing="1" w:after="100" w:afterAutospacing="1" w:line="240" w:lineRule="auto"/>
    </w:pPr>
    <w:rPr>
      <w:rFonts w:ascii="Times New Roman" w:eastAsia="Times New Roman" w:hAnsi="Times New Roman" w:cs="Times New Roman"/>
      <w:sz w:val="24"/>
      <w:szCs w:val="24"/>
      <w:lang w:eastAsia="es-P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108665">
      <w:bodyDiv w:val="1"/>
      <w:marLeft w:val="0"/>
      <w:marRight w:val="0"/>
      <w:marTop w:val="0"/>
      <w:marBottom w:val="0"/>
      <w:divBdr>
        <w:top w:val="none" w:sz="0" w:space="0" w:color="auto"/>
        <w:left w:val="none" w:sz="0" w:space="0" w:color="auto"/>
        <w:bottom w:val="none" w:sz="0" w:space="0" w:color="auto"/>
        <w:right w:val="none" w:sz="0" w:space="0" w:color="auto"/>
      </w:divBdr>
    </w:div>
    <w:div w:id="94007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1047</Words>
  <Characters>5760</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2020-11-17T17:53:00Z</dcterms:created>
  <dcterms:modified xsi:type="dcterms:W3CDTF">2020-11-17T17:53:00Z</dcterms:modified>
</cp:coreProperties>
</file>