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4C" w:rsidRDefault="00DB594C" w:rsidP="00DB594C">
      <w:pPr>
        <w:pStyle w:val="NormalWeb"/>
      </w:pPr>
      <w:r>
        <w:t xml:space="preserve">TORAMATO® </w:t>
      </w:r>
    </w:p>
    <w:p w:rsidR="00DB594C" w:rsidRDefault="00DB594C" w:rsidP="00DB594C">
      <w:pPr>
        <w:pStyle w:val="NormalWeb"/>
      </w:pPr>
      <w:r>
        <w:t>TOPIRAMATO</w:t>
      </w:r>
    </w:p>
    <w:p w:rsidR="00DB594C" w:rsidRDefault="00DB594C" w:rsidP="00DB594C">
      <w:pPr>
        <w:pStyle w:val="NormalWeb"/>
      </w:pPr>
      <w:r>
        <w:t>Venta Bajo Receta Comprimidos Recubiertos</w:t>
      </w:r>
    </w:p>
    <w:p w:rsidR="00DB594C" w:rsidRDefault="00DB594C" w:rsidP="00DB594C">
      <w:pPr>
        <w:pStyle w:val="NormalWeb"/>
      </w:pPr>
      <w:r>
        <w:t>Industria Paraguaya V.A.: Oral</w:t>
      </w:r>
    </w:p>
    <w:p w:rsidR="00DB594C" w:rsidRDefault="00DB594C" w:rsidP="00DB594C">
      <w:pPr>
        <w:pStyle w:val="NormalWeb"/>
      </w:pPr>
      <w:r>
        <w:t>TORAMATO® 25</w:t>
      </w:r>
    </w:p>
    <w:p w:rsidR="00DB594C" w:rsidRDefault="00DB594C" w:rsidP="00DB594C">
      <w:pPr>
        <w:pStyle w:val="NormalWeb"/>
      </w:pPr>
      <w:r>
        <w:t>TOPIRAMATO 25 mg</w:t>
      </w:r>
    </w:p>
    <w:p w:rsidR="00DB594C" w:rsidRDefault="00DB594C" w:rsidP="00DB594C">
      <w:pPr>
        <w:pStyle w:val="NormalWeb"/>
      </w:pPr>
      <w:r>
        <w:t>FORMULA:</w:t>
      </w:r>
    </w:p>
    <w:p w:rsidR="00DB594C" w:rsidRDefault="00DB594C" w:rsidP="00DB594C">
      <w:pPr>
        <w:pStyle w:val="NormalWeb"/>
      </w:pPr>
      <w:r>
        <w:t>Cada comprimido recubierto contiene:</w:t>
      </w:r>
    </w:p>
    <w:p w:rsidR="00DB594C" w:rsidRDefault="00DB594C" w:rsidP="00DB594C">
      <w:pPr>
        <w:pStyle w:val="NormalWeb"/>
      </w:pPr>
      <w:r>
        <w:t>Topiramato.....................................................................25 mg.</w:t>
      </w:r>
    </w:p>
    <w:p w:rsidR="00DB594C" w:rsidRDefault="00DB594C" w:rsidP="00DB594C">
      <w:pPr>
        <w:pStyle w:val="NormalWeb"/>
      </w:pPr>
      <w:r>
        <w:t>Excipientes......................................................................c.s.p.</w:t>
      </w:r>
    </w:p>
    <w:p w:rsidR="00DB594C" w:rsidRDefault="00DB594C" w:rsidP="00DB594C">
      <w:pPr>
        <w:pStyle w:val="NormalWeb"/>
      </w:pPr>
      <w:r>
        <w:t>TORAMATO® 50</w:t>
      </w:r>
    </w:p>
    <w:p w:rsidR="00DB594C" w:rsidRDefault="00DB594C" w:rsidP="00DB594C">
      <w:pPr>
        <w:pStyle w:val="NormalWeb"/>
      </w:pPr>
      <w:r>
        <w:t>TOPIRAMATO 50 mg</w:t>
      </w:r>
    </w:p>
    <w:p w:rsidR="00DB594C" w:rsidRDefault="00DB594C" w:rsidP="00DB594C">
      <w:pPr>
        <w:pStyle w:val="NormalWeb"/>
      </w:pPr>
      <w:r>
        <w:t>FORMULA:</w:t>
      </w:r>
    </w:p>
    <w:p w:rsidR="00DB594C" w:rsidRDefault="00DB594C" w:rsidP="00DB594C">
      <w:pPr>
        <w:pStyle w:val="NormalWeb"/>
      </w:pPr>
      <w:r>
        <w:t>Cada comprimido recubierto contiene:</w:t>
      </w:r>
    </w:p>
    <w:p w:rsidR="00DB594C" w:rsidRDefault="00DB594C" w:rsidP="00DB594C">
      <w:pPr>
        <w:pStyle w:val="NormalWeb"/>
      </w:pPr>
      <w:r>
        <w:t>Topiramato.....................................................................50 mg.</w:t>
      </w:r>
    </w:p>
    <w:p w:rsidR="00DB594C" w:rsidRDefault="00DB594C" w:rsidP="00DB594C">
      <w:pPr>
        <w:pStyle w:val="NormalWeb"/>
      </w:pPr>
      <w:r>
        <w:t>Excipientes......................................................................c.s.p.</w:t>
      </w:r>
    </w:p>
    <w:p w:rsidR="00DB594C" w:rsidRDefault="00DB594C" w:rsidP="00DB594C">
      <w:pPr>
        <w:pStyle w:val="NormalWeb"/>
      </w:pPr>
      <w:r>
        <w:t>TORAMATO® 100</w:t>
      </w:r>
    </w:p>
    <w:p w:rsidR="00DB594C" w:rsidRDefault="00DB594C" w:rsidP="00DB594C">
      <w:pPr>
        <w:pStyle w:val="NormalWeb"/>
      </w:pPr>
      <w:r>
        <w:t>TOPIRAMATO 100 mg</w:t>
      </w:r>
    </w:p>
    <w:p w:rsidR="00DB594C" w:rsidRDefault="00DB594C" w:rsidP="00DB594C">
      <w:pPr>
        <w:pStyle w:val="NormalWeb"/>
      </w:pPr>
      <w:r>
        <w:t>FORMULA:</w:t>
      </w:r>
    </w:p>
    <w:p w:rsidR="00DB594C" w:rsidRDefault="00DB594C" w:rsidP="00DB594C">
      <w:pPr>
        <w:pStyle w:val="NormalWeb"/>
      </w:pPr>
      <w:r>
        <w:t>Cada comprimido recubierto contiene:</w:t>
      </w:r>
    </w:p>
    <w:p w:rsidR="00DB594C" w:rsidRDefault="00DB594C" w:rsidP="00DB594C">
      <w:pPr>
        <w:pStyle w:val="NormalWeb"/>
      </w:pPr>
      <w:r>
        <w:t>Topiramato...................................................................100 mg.</w:t>
      </w:r>
    </w:p>
    <w:p w:rsidR="00DB594C" w:rsidRDefault="00DB594C" w:rsidP="00DB594C">
      <w:pPr>
        <w:pStyle w:val="NormalWeb"/>
      </w:pPr>
      <w:r>
        <w:t>Excipientes......................................................................c.s.p.</w:t>
      </w:r>
    </w:p>
    <w:p w:rsidR="00DB594C" w:rsidRDefault="00DB594C" w:rsidP="00DB594C">
      <w:pPr>
        <w:pStyle w:val="NormalWeb"/>
      </w:pPr>
      <w:r>
        <w:t>ACCION TERAPEUTICA:</w:t>
      </w:r>
    </w:p>
    <w:p w:rsidR="00DB594C" w:rsidRDefault="00DB594C" w:rsidP="00DB594C">
      <w:pPr>
        <w:pStyle w:val="NormalWeb"/>
      </w:pPr>
      <w:r>
        <w:t>Antiepiléptico y Estabilizante del Estado de Animo (</w:t>
      </w:r>
      <w:proofErr w:type="spellStart"/>
      <w:r>
        <w:t>Anticíclico</w:t>
      </w:r>
      <w:proofErr w:type="spellEnd"/>
      <w:r>
        <w:t>).</w:t>
      </w:r>
    </w:p>
    <w:p w:rsidR="00DB594C" w:rsidRDefault="00DB594C" w:rsidP="00DB594C">
      <w:pPr>
        <w:pStyle w:val="NormalWeb"/>
      </w:pPr>
      <w:r>
        <w:t>MECANISMO DE ACCION Y DATOS FARMACOCINETICOS:</w:t>
      </w:r>
    </w:p>
    <w:p w:rsidR="00DB594C" w:rsidRDefault="00DB594C" w:rsidP="00DB594C">
      <w:pPr>
        <w:pStyle w:val="NormalWeb"/>
      </w:pPr>
      <w:proofErr w:type="spellStart"/>
      <w:r>
        <w:lastRenderedPageBreak/>
        <w:t>Topiramato</w:t>
      </w:r>
      <w:proofErr w:type="spellEnd"/>
      <w:r>
        <w:t xml:space="preserve"> es un nuevo agente antiepiléptico, el cual se clasifica como un monosacárido </w:t>
      </w:r>
      <w:proofErr w:type="spellStart"/>
      <w:r>
        <w:t>sulfamato-sustituído</w:t>
      </w:r>
      <w:proofErr w:type="spellEnd"/>
      <w:r>
        <w:t xml:space="preserve">. Los estudios de electrofisiología y bioquímica realizados con neuronas cultivadas han identificado tres propiedades que pueden contribuir con la eficacia antiepiléptica del </w:t>
      </w:r>
      <w:proofErr w:type="spellStart"/>
      <w:r>
        <w:t>Topiramato</w:t>
      </w:r>
      <w:proofErr w:type="spellEnd"/>
      <w:r>
        <w:t xml:space="preserve">. Los potenciales evocados repetidamente por una despolarización sostenida de las neuronas fueron bloqueados por </w:t>
      </w:r>
      <w:proofErr w:type="spellStart"/>
      <w:r>
        <w:t>Topiramato</w:t>
      </w:r>
      <w:proofErr w:type="spellEnd"/>
      <w:r>
        <w:t xml:space="preserve"> de manera tiempo-dependiente, sugestivo de una acción bloqueadora, estado-dependiente, de los canales de sodio. </w:t>
      </w:r>
    </w:p>
    <w:p w:rsidR="00DB594C" w:rsidRDefault="00DB594C" w:rsidP="00DB594C">
      <w:pPr>
        <w:pStyle w:val="NormalWeb"/>
      </w:pPr>
      <w:proofErr w:type="spellStart"/>
      <w:r>
        <w:t>Topiramato</w:t>
      </w:r>
      <w:proofErr w:type="spellEnd"/>
      <w:r>
        <w:t xml:space="preserve"> aumentó la frecuencia a la cual g-</w:t>
      </w:r>
      <w:proofErr w:type="spellStart"/>
      <w:r>
        <w:t>aminobutirato</w:t>
      </w:r>
      <w:proofErr w:type="spellEnd"/>
      <w:r>
        <w:t xml:space="preserve"> (GABA) activada por los receptores GABA-A, y aumentó la habilidad del GABA de inducir un flujo de iones de cloro hacia </w:t>
      </w:r>
    </w:p>
    <w:p w:rsidR="00DB594C" w:rsidRDefault="00DB594C" w:rsidP="00DB594C">
      <w:pPr>
        <w:pStyle w:val="NormalWeb"/>
      </w:pPr>
      <w:proofErr w:type="gramStart"/>
      <w:r>
        <w:t>las</w:t>
      </w:r>
      <w:proofErr w:type="gramEnd"/>
      <w:r>
        <w:t xml:space="preserve"> neuronas, sugiriendo que </w:t>
      </w:r>
      <w:proofErr w:type="spellStart"/>
      <w:r>
        <w:t>Topiramato</w:t>
      </w:r>
      <w:proofErr w:type="spellEnd"/>
      <w:r>
        <w:t xml:space="preserve"> potencia la actividad de este neurotransmisor inhibitorio. </w:t>
      </w:r>
    </w:p>
    <w:p w:rsidR="00DB594C" w:rsidRDefault="00DB594C" w:rsidP="00DB594C">
      <w:pPr>
        <w:pStyle w:val="NormalWeb"/>
      </w:pPr>
      <w:r>
        <w:t xml:space="preserve">Dado que el perfil antiepiléptico de </w:t>
      </w:r>
      <w:proofErr w:type="spellStart"/>
      <w:r>
        <w:t>Topiramato</w:t>
      </w:r>
      <w:proofErr w:type="spellEnd"/>
      <w:r>
        <w:t xml:space="preserve"> difiere marcadamente de las benzodiacepinas, puede modular un receptor del subtipo GABA-A a ser insensible a las benzodiacepinas. </w:t>
      </w:r>
      <w:proofErr w:type="spellStart"/>
      <w:r>
        <w:t>Topiramato</w:t>
      </w:r>
      <w:proofErr w:type="spellEnd"/>
      <w:r>
        <w:t xml:space="preserve"> antagonizó la habilidad de </w:t>
      </w:r>
      <w:proofErr w:type="spellStart"/>
      <w:r>
        <w:t>kainato</w:t>
      </w:r>
      <w:proofErr w:type="spellEnd"/>
      <w:r>
        <w:t xml:space="preserve"> de activar el </w:t>
      </w:r>
      <w:proofErr w:type="spellStart"/>
      <w:r>
        <w:t>kainato</w:t>
      </w:r>
      <w:proofErr w:type="spellEnd"/>
      <w:r>
        <w:t>/</w:t>
      </w:r>
      <w:proofErr w:type="spellStart"/>
      <w:r>
        <w:t>ampa</w:t>
      </w:r>
      <w:proofErr w:type="spellEnd"/>
      <w:r>
        <w:t xml:space="preserve"> (ácido I - amino - 3 - </w:t>
      </w:r>
      <w:proofErr w:type="spellStart"/>
      <w:r>
        <w:t>hidroxi</w:t>
      </w:r>
      <w:proofErr w:type="spellEnd"/>
      <w:r>
        <w:t xml:space="preserve"> - 5 - </w:t>
      </w:r>
      <w:proofErr w:type="spellStart"/>
      <w:r>
        <w:t>metilisoxasol</w:t>
      </w:r>
      <w:proofErr w:type="spellEnd"/>
      <w:r>
        <w:t xml:space="preserve"> - 4 - </w:t>
      </w:r>
      <w:proofErr w:type="spellStart"/>
      <w:r>
        <w:t>propiónico</w:t>
      </w:r>
      <w:proofErr w:type="spellEnd"/>
      <w:r>
        <w:t xml:space="preserve">) subtipo de receptor </w:t>
      </w:r>
      <w:proofErr w:type="spellStart"/>
      <w:r>
        <w:t>excitatorio</w:t>
      </w:r>
      <w:proofErr w:type="spellEnd"/>
      <w:r>
        <w:t xml:space="preserve"> de aminoácidos (glutamato), pero no tuvo efecto aparente sobre la actividad de N - </w:t>
      </w:r>
      <w:proofErr w:type="spellStart"/>
      <w:r>
        <w:t>metil</w:t>
      </w:r>
      <w:proofErr w:type="spellEnd"/>
      <w:r>
        <w:t xml:space="preserve"> - D - </w:t>
      </w:r>
      <w:proofErr w:type="spellStart"/>
      <w:r>
        <w:t>aspartato</w:t>
      </w:r>
      <w:proofErr w:type="spellEnd"/>
      <w:r>
        <w:t xml:space="preserve"> (NMDA) en el subtipo de receptor NMDA. Estos efectos de </w:t>
      </w:r>
      <w:proofErr w:type="spellStart"/>
      <w:r>
        <w:t>Topiramato</w:t>
      </w:r>
      <w:proofErr w:type="spellEnd"/>
      <w:r>
        <w:t xml:space="preserve"> dependieron de la concentración en un rango de 1mcM a 200mcM, con mínima actividad observada con 1mcM a 10mcM. Además, </w:t>
      </w:r>
      <w:proofErr w:type="spellStart"/>
      <w:r>
        <w:t>Topiramato</w:t>
      </w:r>
      <w:proofErr w:type="spellEnd"/>
      <w:r>
        <w:t xml:space="preserve"> inhibe algunas </w:t>
      </w:r>
      <w:proofErr w:type="spellStart"/>
      <w:r>
        <w:t>isoenzimas</w:t>
      </w:r>
      <w:proofErr w:type="spellEnd"/>
      <w:r>
        <w:t xml:space="preserve"> de la </w:t>
      </w:r>
      <w:proofErr w:type="spellStart"/>
      <w:r>
        <w:t>anhidrasa</w:t>
      </w:r>
      <w:proofErr w:type="spellEnd"/>
      <w:r>
        <w:t xml:space="preserve"> carbónica. En estudios controlados con terapias combinadas no se ha demostrado correlación entre concentraciones plasmáticas de </w:t>
      </w:r>
      <w:proofErr w:type="spellStart"/>
      <w:r>
        <w:t>Topiramato</w:t>
      </w:r>
      <w:proofErr w:type="spellEnd"/>
      <w:r>
        <w:t xml:space="preserve"> y su eficacia clínica. No se ha demostrado en humanos evidencia de tolerancia. </w:t>
      </w:r>
      <w:proofErr w:type="spellStart"/>
      <w:r>
        <w:t>Topiramato</w:t>
      </w:r>
      <w:proofErr w:type="spellEnd"/>
      <w:r>
        <w:t xml:space="preserve"> se absorbe en forma rápida y bien. Después de la administración oral de 100 mg de </w:t>
      </w:r>
      <w:proofErr w:type="spellStart"/>
      <w:r>
        <w:t>Topiramato</w:t>
      </w:r>
      <w:proofErr w:type="spellEnd"/>
      <w:r>
        <w:t xml:space="preserve"> a personas sanas, se alcanzó una concentración plasmática máxima (</w:t>
      </w:r>
      <w:proofErr w:type="spellStart"/>
      <w:r>
        <w:t>Cmax</w:t>
      </w:r>
      <w:proofErr w:type="spellEnd"/>
      <w:r>
        <w:t>) de 1,5 mg/</w:t>
      </w:r>
      <w:proofErr w:type="spellStart"/>
      <w:r>
        <w:t>mL</w:t>
      </w:r>
      <w:proofErr w:type="spellEnd"/>
      <w:r>
        <w:t xml:space="preserve"> en 2 a 3 </w:t>
      </w:r>
      <w:proofErr w:type="spellStart"/>
      <w:r>
        <w:t>hs</w:t>
      </w:r>
      <w:proofErr w:type="spellEnd"/>
      <w:r>
        <w:t xml:space="preserve"> (</w:t>
      </w:r>
      <w:proofErr w:type="spellStart"/>
      <w:r>
        <w:t>Tmax</w:t>
      </w:r>
      <w:proofErr w:type="spellEnd"/>
      <w:r>
        <w:t xml:space="preserve">). No hubo un efecto clínico significativo de la comida en la biodisponibilidad de </w:t>
      </w:r>
      <w:proofErr w:type="spellStart"/>
      <w:r>
        <w:t>Topiramato</w:t>
      </w:r>
      <w:proofErr w:type="spellEnd"/>
      <w:r>
        <w:t xml:space="preserve">. Generalmente, 13 a 17% del </w:t>
      </w:r>
      <w:proofErr w:type="spellStart"/>
      <w:r>
        <w:t>Topiramato</w:t>
      </w:r>
      <w:proofErr w:type="spellEnd"/>
      <w:r>
        <w:t xml:space="preserve"> se une a proteínas plasmáticas. Se ha observado que con concentraciones plasmáticas superiores a los 4 mg/</w:t>
      </w:r>
      <w:proofErr w:type="spellStart"/>
      <w:r>
        <w:t>mL</w:t>
      </w:r>
      <w:proofErr w:type="spellEnd"/>
      <w:r>
        <w:t xml:space="preserve"> existe una pequeña capacidad de </w:t>
      </w:r>
      <w:proofErr w:type="spellStart"/>
      <w:r>
        <w:t>Topiramato</w:t>
      </w:r>
      <w:proofErr w:type="spellEnd"/>
      <w:r>
        <w:t xml:space="preserve"> de ligarse a eritrocitos. El volumen de distribución varía en relación inversa a la dosis. El volumen promedio de distribución aparente fue de 0,80 a 0,55 L/Kg para una dosis única variable entre 100 y 1200 mg. </w:t>
      </w:r>
    </w:p>
    <w:p w:rsidR="00DB594C" w:rsidRDefault="00DB594C" w:rsidP="00DB594C">
      <w:pPr>
        <w:pStyle w:val="NormalWeb"/>
      </w:pPr>
      <w:r>
        <w:t>Se detectó valores de distribución para mujeres de alrededor del 50% de aquellos observados en hombres. Esto se atribuyó al mayor porcentaje de tejido adiposo existente en pacientes del sexo femenino pero no posee consecuencias clínicas.</w:t>
      </w:r>
    </w:p>
    <w:p w:rsidR="00DB594C" w:rsidRDefault="00DB594C" w:rsidP="00DB594C">
      <w:pPr>
        <w:pStyle w:val="NormalWeb"/>
      </w:pPr>
      <w:proofErr w:type="spellStart"/>
      <w:r>
        <w:t>Topiramato</w:t>
      </w:r>
      <w:proofErr w:type="spellEnd"/>
      <w:r>
        <w:t xml:space="preserve"> no se metaboliza extensamente (=20%) en voluntarios sanos. Se metaboliza hasta un 50% en pacientes que reciben concomitantemente tratamiento antiepiléptico con drogas conocidas como inductoras de las enzimas metabólicas. Se han aislado 6 metabolitos, formados por </w:t>
      </w:r>
      <w:proofErr w:type="spellStart"/>
      <w:r>
        <w:t>hidroxilación</w:t>
      </w:r>
      <w:proofErr w:type="spellEnd"/>
      <w:r>
        <w:t xml:space="preserve">, hidrólisis y </w:t>
      </w:r>
      <w:proofErr w:type="spellStart"/>
      <w:r>
        <w:t>gluconización</w:t>
      </w:r>
      <w:proofErr w:type="spellEnd"/>
      <w:r>
        <w:t xml:space="preserve">, detectados e identificados en plasma, orina y heces de humanos. Cada metabolito representa menos del 3% de la radioactividad total excretada. La principal ruta de eliminación de </w:t>
      </w:r>
      <w:proofErr w:type="spellStart"/>
      <w:r>
        <w:t>Topiramato</w:t>
      </w:r>
      <w:proofErr w:type="spellEnd"/>
      <w:r>
        <w:t xml:space="preserve"> inalterado y de sus metabolitos es por vía renal (por lo menos 81% de la dosis). Después de la dosis de 50 y 100 mg de </w:t>
      </w:r>
      <w:proofErr w:type="spellStart"/>
      <w:r>
        <w:t>Topiramato</w:t>
      </w:r>
      <w:proofErr w:type="spellEnd"/>
      <w:r>
        <w:t xml:space="preserve"> administrados 2 veces al día, el aclaramiento renal medio fue de aproximadamente 18 </w:t>
      </w:r>
      <w:proofErr w:type="spellStart"/>
      <w:r>
        <w:t>mL</w:t>
      </w:r>
      <w:proofErr w:type="spellEnd"/>
      <w:r>
        <w:t xml:space="preserve">/min y 17 </w:t>
      </w:r>
      <w:proofErr w:type="spellStart"/>
      <w:r>
        <w:t>mL</w:t>
      </w:r>
      <w:proofErr w:type="spellEnd"/>
      <w:r>
        <w:t>/min, respectivamente.</w:t>
      </w:r>
    </w:p>
    <w:p w:rsidR="00DB594C" w:rsidRDefault="00DB594C" w:rsidP="00DB594C">
      <w:pPr>
        <w:pStyle w:val="NormalWeb"/>
      </w:pPr>
      <w:r>
        <w:lastRenderedPageBreak/>
        <w:t xml:space="preserve">Hay evidencias de reabsorción tubular renal. A los pacientes con función renal normal les puede llevar entre 4 y 8 días alcanzar concentraciones plasmáticas estables. La </w:t>
      </w:r>
      <w:proofErr w:type="spellStart"/>
      <w:r>
        <w:t>Cmax</w:t>
      </w:r>
      <w:proofErr w:type="spellEnd"/>
      <w:r>
        <w:t xml:space="preserve"> promedio después de dosis múltiples de 100 mg 2 veces al día por vía oral, administradas a voluntarios sanos fue de 6,76 mg/</w:t>
      </w:r>
      <w:proofErr w:type="spellStart"/>
      <w:r>
        <w:t>mL</w:t>
      </w:r>
      <w:proofErr w:type="spellEnd"/>
      <w:r>
        <w:t xml:space="preserve">. Después de la administración de dosis múltiples de 50 y 100 mg de </w:t>
      </w:r>
      <w:proofErr w:type="spellStart"/>
      <w:r>
        <w:t>Topiramato</w:t>
      </w:r>
      <w:proofErr w:type="spellEnd"/>
      <w:r>
        <w:t xml:space="preserve">, 2 veces al día, la vida media de eliminación del plasma fue en promedio de 21 </w:t>
      </w:r>
      <w:proofErr w:type="spellStart"/>
      <w:r>
        <w:t>hs</w:t>
      </w:r>
      <w:proofErr w:type="spellEnd"/>
      <w:r>
        <w:t xml:space="preserve"> aproximadamente.</w:t>
      </w:r>
    </w:p>
    <w:p w:rsidR="00DB594C" w:rsidRDefault="00DB594C" w:rsidP="00DB594C">
      <w:pPr>
        <w:pStyle w:val="NormalWeb"/>
      </w:pPr>
      <w:r>
        <w:t xml:space="preserve">La administración concomitante de dosis múltiples de </w:t>
      </w:r>
      <w:proofErr w:type="spellStart"/>
      <w:r>
        <w:t>Topiramato</w:t>
      </w:r>
      <w:proofErr w:type="spellEnd"/>
      <w:r>
        <w:t xml:space="preserve">, 100 a 400 mg dos veces al día, con </w:t>
      </w:r>
      <w:proofErr w:type="spellStart"/>
      <w:r>
        <w:t>fenitoína</w:t>
      </w:r>
      <w:proofErr w:type="spellEnd"/>
      <w:r>
        <w:t xml:space="preserve"> o </w:t>
      </w:r>
      <w:proofErr w:type="spellStart"/>
      <w:r>
        <w:t>carbamacepina</w:t>
      </w:r>
      <w:proofErr w:type="spellEnd"/>
      <w:r>
        <w:t xml:space="preserve">, muestra aumentos en las concentraciones plasmáticas de </w:t>
      </w:r>
      <w:proofErr w:type="spellStart"/>
      <w:r>
        <w:t>Topiramato</w:t>
      </w:r>
      <w:proofErr w:type="spellEnd"/>
      <w:r>
        <w:t xml:space="preserve"> proporcionales a la dosis administrada. El aclaramiento plasmático y renal de </w:t>
      </w:r>
      <w:proofErr w:type="spellStart"/>
      <w:r>
        <w:t>Topiramato</w:t>
      </w:r>
      <w:proofErr w:type="spellEnd"/>
      <w:r>
        <w:t xml:space="preserve"> disminuye en pacientes con función renal deteriorada (CLCR £ 60 </w:t>
      </w:r>
      <w:proofErr w:type="spellStart"/>
      <w:r>
        <w:t>mL</w:t>
      </w:r>
      <w:proofErr w:type="spellEnd"/>
      <w:r>
        <w:t xml:space="preserve">/min). El aclaramiento plasmático disminuye en pacientes con enfermedad renal terminal. Como resultado, se esperan concentraciones plasmáticas más elevadas estables de </w:t>
      </w:r>
      <w:proofErr w:type="spellStart"/>
      <w:r>
        <w:t>Topiramato</w:t>
      </w:r>
      <w:proofErr w:type="spellEnd"/>
      <w:r>
        <w:t xml:space="preserve"> para una dosis dada en pacientes con disfunción renal en comparación con aquellos con función renal normal. </w:t>
      </w:r>
      <w:proofErr w:type="spellStart"/>
      <w:r>
        <w:t>Topiramato</w:t>
      </w:r>
      <w:proofErr w:type="spellEnd"/>
      <w:r>
        <w:t xml:space="preserve"> se elimina eficazmente del plasma mediante hemodiálisis. El aclaramiento plasmático de </w:t>
      </w:r>
      <w:proofErr w:type="spellStart"/>
      <w:r>
        <w:t>Topiramato</w:t>
      </w:r>
      <w:proofErr w:type="spellEnd"/>
      <w:r>
        <w:t xml:space="preserve"> se mantiene inmodificable en personas de edad avanzada en ausencia de una patología renal subyacente. El aclaramiento plasmático de </w:t>
      </w:r>
      <w:proofErr w:type="spellStart"/>
      <w:r>
        <w:t>Topiramato</w:t>
      </w:r>
      <w:proofErr w:type="spellEnd"/>
      <w:r>
        <w:t xml:space="preserve"> disminuye en pacientes con daño hepático moderado o severo. </w:t>
      </w:r>
    </w:p>
    <w:p w:rsidR="00DB594C" w:rsidRDefault="00DB594C" w:rsidP="00DB594C">
      <w:pPr>
        <w:pStyle w:val="NormalWeb"/>
      </w:pPr>
      <w:r>
        <w:t>INDICACIONES TERAPEUTICAS:</w:t>
      </w:r>
    </w:p>
    <w:p w:rsidR="00DB594C" w:rsidRDefault="00DB594C" w:rsidP="00DB594C">
      <w:pPr>
        <w:pStyle w:val="NormalWeb"/>
      </w:pPr>
      <w:r>
        <w:t>Crisis maníaca aguda. Profilaxis del Trastorno Bipolar (maníaco-depresivo). Epilepsia Parcial.</w:t>
      </w:r>
    </w:p>
    <w:p w:rsidR="00DB594C" w:rsidRDefault="00DB594C" w:rsidP="00DB594C">
      <w:pPr>
        <w:pStyle w:val="NormalWeb"/>
      </w:pPr>
      <w:r>
        <w:t>CONTRAINDICACIONES:</w:t>
      </w:r>
    </w:p>
    <w:p w:rsidR="00DB594C" w:rsidRDefault="00DB594C" w:rsidP="00DB594C">
      <w:pPr>
        <w:pStyle w:val="NormalWeb"/>
      </w:pPr>
      <w:r>
        <w:t>Hipersensibilidad a la droga o a cualquiera de sus componentes.</w:t>
      </w:r>
    </w:p>
    <w:p w:rsidR="00DB594C" w:rsidRDefault="00DB594C" w:rsidP="00DB594C">
      <w:pPr>
        <w:pStyle w:val="NormalWeb"/>
      </w:pPr>
      <w:r>
        <w:t>POSOLOGIA:</w:t>
      </w:r>
    </w:p>
    <w:p w:rsidR="00DB594C" w:rsidRDefault="00DB594C" w:rsidP="00DB594C">
      <w:pPr>
        <w:pStyle w:val="NormalWeb"/>
      </w:pPr>
      <w:r>
        <w:t xml:space="preserve">Se recomienda iniciar el tratamiento con dosis bajas, titulándolo posteriormente hasta alcanzar la dosis efectiva. Tanto en monoterapia como en tratamiento coadyuvante la dosis inicial es de 25 mg. </w:t>
      </w:r>
    </w:p>
    <w:p w:rsidR="00DB594C" w:rsidRDefault="00DB594C" w:rsidP="00DB594C">
      <w:pPr>
        <w:pStyle w:val="NormalWeb"/>
      </w:pPr>
      <w:r>
        <w:t xml:space="preserve">La dosis inicial en el tratamiento coadyuvante para niños de 2 a 16 años es de 25 mg por la noche durante la primera semana, con incrementos de 1 - 3 mg/Kg/día a intervalos de 1 - 2 semanas según la respuesta. </w:t>
      </w:r>
      <w:proofErr w:type="spellStart"/>
      <w:r>
        <w:t>Mas</w:t>
      </w:r>
      <w:proofErr w:type="spellEnd"/>
      <w:r>
        <w:t xml:space="preserve"> adelante la dosis recomendada oscila entre 5 - 9 mg/Kg/día, administradas en dos dosis fraccionadas aunque se puede aumentar 30 mg/Kg. En monoterapia el tratamiento en niños mayores de 6 años puede iniciarse con 0,5 mg a 1 mg/Kg por noche durante la primera semana con incrementos de 0,5 a 1 mg/Kg/día a intervalos de 1 a 2 semanas. Algunos pacientes pueden alcanzar eficacia con una dosis diaria. En estudios clínicos como tratamiento adyuvante, la dosis efectiva en adultos fue de 200 mg y fue la menor dosis estudiada. Por lo tanto esta es considerada como la dosis efectiva mínima. La dosis diaria habitual es variable entre 200 y 400 mg repartidos en 2 dosis. Algunos pacientes han recibido dosis de hasta 1600 mg por día.</w:t>
      </w:r>
    </w:p>
    <w:p w:rsidR="00DB594C" w:rsidRDefault="00DB594C" w:rsidP="00DB594C">
      <w:pPr>
        <w:pStyle w:val="NormalWeb"/>
      </w:pPr>
      <w:r>
        <w:t xml:space="preserve">Los comprimidos no deben partirse. </w:t>
      </w:r>
      <w:proofErr w:type="spellStart"/>
      <w:r>
        <w:t>Topiramato</w:t>
      </w:r>
      <w:proofErr w:type="spellEnd"/>
      <w:r>
        <w:t xml:space="preserve"> puede administrarse sin tener en cuenta las comidas.</w:t>
      </w:r>
    </w:p>
    <w:p w:rsidR="00DB594C" w:rsidRDefault="00DB594C" w:rsidP="00DB594C">
      <w:pPr>
        <w:pStyle w:val="NormalWeb"/>
      </w:pPr>
      <w:r>
        <w:lastRenderedPageBreak/>
        <w:t xml:space="preserve">En raras ocasiones, la adición de </w:t>
      </w:r>
      <w:proofErr w:type="spellStart"/>
      <w:r>
        <w:t>Topiramato</w:t>
      </w:r>
      <w:proofErr w:type="spellEnd"/>
      <w:r>
        <w:t xml:space="preserve"> a </w:t>
      </w:r>
      <w:proofErr w:type="spellStart"/>
      <w:r>
        <w:t>fenitoína</w:t>
      </w:r>
      <w:proofErr w:type="spellEnd"/>
      <w:r>
        <w:t xml:space="preserve"> puede requerir un ajuste de la dosis de </w:t>
      </w:r>
      <w:proofErr w:type="spellStart"/>
      <w:r>
        <w:t>fenitoína</w:t>
      </w:r>
      <w:proofErr w:type="spellEnd"/>
      <w:r>
        <w:t xml:space="preserve"> para alcanzar un óptimo efecto clínico. La adición o el abandono de </w:t>
      </w:r>
      <w:proofErr w:type="spellStart"/>
      <w:r>
        <w:t>fenitoína</w:t>
      </w:r>
      <w:proofErr w:type="spellEnd"/>
      <w:r>
        <w:t xml:space="preserve"> y </w:t>
      </w:r>
      <w:proofErr w:type="spellStart"/>
      <w:r>
        <w:t>carbamacepina</w:t>
      </w:r>
      <w:proofErr w:type="spellEnd"/>
      <w:r>
        <w:t xml:space="preserve"> al tratamiento combinado con </w:t>
      </w:r>
      <w:proofErr w:type="spellStart"/>
      <w:r>
        <w:t>Topiramato</w:t>
      </w:r>
      <w:proofErr w:type="spellEnd"/>
      <w:r>
        <w:t xml:space="preserve"> </w:t>
      </w:r>
      <w:proofErr w:type="gramStart"/>
      <w:r>
        <w:t>puede</w:t>
      </w:r>
      <w:proofErr w:type="gramEnd"/>
      <w:r>
        <w:t xml:space="preserve"> requerir un ajuste de la dosis de </w:t>
      </w:r>
      <w:proofErr w:type="spellStart"/>
      <w:r>
        <w:t>Topiramato</w:t>
      </w:r>
      <w:proofErr w:type="spellEnd"/>
      <w:r>
        <w:t>.</w:t>
      </w:r>
    </w:p>
    <w:p w:rsidR="00DB594C" w:rsidRDefault="00DB594C" w:rsidP="00DB594C">
      <w:pPr>
        <w:pStyle w:val="NormalWeb"/>
      </w:pPr>
      <w:r>
        <w:t>Estas recomendaciones posológicas se aplican a todos los adultos, incluyendo aquellos de edad avanzada, en ausencia de enfermedad renal subyacente.</w:t>
      </w:r>
    </w:p>
    <w:p w:rsidR="00DB594C" w:rsidRDefault="00DB594C" w:rsidP="00DB594C">
      <w:pPr>
        <w:pStyle w:val="NormalWeb"/>
      </w:pPr>
      <w:r>
        <w:t>PRECAUCIONES Y ADVERTENCIAS:</w:t>
      </w:r>
    </w:p>
    <w:p w:rsidR="00DB594C" w:rsidRDefault="00DB594C" w:rsidP="00DB594C">
      <w:pPr>
        <w:pStyle w:val="NormalWeb"/>
      </w:pPr>
      <w:r>
        <w:t xml:space="preserve">Las drogas antiepilépticas, incluyendo </w:t>
      </w:r>
      <w:proofErr w:type="spellStart"/>
      <w:r>
        <w:t>Topiramato</w:t>
      </w:r>
      <w:proofErr w:type="spellEnd"/>
      <w:r>
        <w:t xml:space="preserve">, deberían ser retiradas en forma gradual para minimizar la posibilidad de un aumento de la frecuencia convulsiva. </w:t>
      </w:r>
    </w:p>
    <w:p w:rsidR="00DB594C" w:rsidRDefault="00DB594C" w:rsidP="00DB594C">
      <w:pPr>
        <w:pStyle w:val="NormalWeb"/>
      </w:pPr>
      <w:r>
        <w:t>Como con todos los pacientes, el esquema de titulación debería realizarse en base a la respuesta clínica (por ejemplo, control de las convulsiones, prevención de efectos colaterales) con el conocimiento que los pacientes con daño renal conocido pueden requerir un tiempo más prolongado para alcanzar niveles estables con cada dosis. Algunos pacientes, especialmente aquellos con predisposición a las nefrolitiasis, pueden encontrarse frente a un mayor riesgo para la formación de cálculos renales. Se recomienda una adecuada hidratación para reducir este riesgo.</w:t>
      </w:r>
    </w:p>
    <w:p w:rsidR="00DB594C" w:rsidRDefault="00DB594C" w:rsidP="00DB594C">
      <w:pPr>
        <w:pStyle w:val="NormalWeb"/>
      </w:pPr>
      <w:r>
        <w:t xml:space="preserve">Embarazo y Lactancia: Como otras drogas antiepilépticas, </w:t>
      </w:r>
      <w:proofErr w:type="spellStart"/>
      <w:r>
        <w:t>Topiramato</w:t>
      </w:r>
      <w:proofErr w:type="spellEnd"/>
      <w:r>
        <w:t xml:space="preserve"> demostró ser </w:t>
      </w:r>
      <w:proofErr w:type="spellStart"/>
      <w:r>
        <w:t>teratogénico</w:t>
      </w:r>
      <w:proofErr w:type="spellEnd"/>
      <w:r>
        <w:t xml:space="preserve"> en ratones, ratas y conejos. En ratas, </w:t>
      </w:r>
      <w:proofErr w:type="spellStart"/>
      <w:r>
        <w:t>Topiramato</w:t>
      </w:r>
      <w:proofErr w:type="spellEnd"/>
      <w:r>
        <w:t xml:space="preserve"> cruza la barrera placentaria. No hay estudios en los cuales se haya administrado </w:t>
      </w:r>
      <w:proofErr w:type="spellStart"/>
      <w:r>
        <w:t>Topiramato</w:t>
      </w:r>
      <w:proofErr w:type="spellEnd"/>
      <w:r>
        <w:t xml:space="preserve"> a mujeres embarazadas. Por lo tanto, </w:t>
      </w:r>
      <w:proofErr w:type="spellStart"/>
      <w:r>
        <w:t>Topiramato</w:t>
      </w:r>
      <w:proofErr w:type="spellEnd"/>
      <w:r>
        <w:t xml:space="preserve"> debería ser usado durante el embarazo sólo si los beneficios potenciales superan los posibles riesgos para el feto.</w:t>
      </w:r>
    </w:p>
    <w:p w:rsidR="00DB594C" w:rsidRDefault="00DB594C" w:rsidP="00DB594C">
      <w:pPr>
        <w:pStyle w:val="NormalWeb"/>
      </w:pPr>
      <w:r>
        <w:t xml:space="preserve">No se sabe si </w:t>
      </w:r>
      <w:proofErr w:type="spellStart"/>
      <w:r>
        <w:t>Topiramato</w:t>
      </w:r>
      <w:proofErr w:type="spellEnd"/>
      <w:r>
        <w:t xml:space="preserve"> se excreta por leche humana. Dado que muchas drogas se excretan por leche humana, se deberá tomar una decisión en cuanto a discontinuar la lactancia o discontinuar el tratamiento, tomando en consideración la importancia de la medicación para la madre.</w:t>
      </w:r>
    </w:p>
    <w:p w:rsidR="00DB594C" w:rsidRDefault="00DB594C" w:rsidP="00DB594C">
      <w:pPr>
        <w:pStyle w:val="NormalWeb"/>
      </w:pPr>
      <w:r>
        <w:t xml:space="preserve">Efectos sobre la capacidad de conducir y/u operar maquinarias: Como con todas las drogas antiepilépticas, </w:t>
      </w:r>
      <w:proofErr w:type="spellStart"/>
      <w:r>
        <w:t>Topiramato</w:t>
      </w:r>
      <w:proofErr w:type="spellEnd"/>
      <w:r>
        <w:t xml:space="preserve"> actúa en el S.N.C. y puede producir somnolencia, mareos u otros síntomas relacionados. Estos efectos adversos que de otra manera serían leves o moderados podrían potencialmente ser peligrosos en pacientes que se encuentren conduciendo un vehículo u operando maquinarias, particularmente hasta que la experiencia de cada paciente con la medicación se haya establecido.</w:t>
      </w:r>
    </w:p>
    <w:p w:rsidR="00DB594C" w:rsidRDefault="00DB594C" w:rsidP="00DB594C">
      <w:pPr>
        <w:pStyle w:val="NormalWeb"/>
      </w:pPr>
      <w:r>
        <w:t>REACCIONES ADVERSAS Y EFECTOS COLATERALES:</w:t>
      </w:r>
    </w:p>
    <w:p w:rsidR="00DB594C" w:rsidRDefault="00DB594C" w:rsidP="00DB594C">
      <w:pPr>
        <w:pStyle w:val="NormalWeb"/>
      </w:pPr>
      <w:r>
        <w:t>La mayoría de estos efectos aparece al inicio del tratamiento (no más de 6-8 semanas). Con escalada lenta de la dosis y también con monoterapia los efectos adversos disminuyen considerablemente.</w:t>
      </w:r>
    </w:p>
    <w:p w:rsidR="00DB594C" w:rsidRDefault="00DB594C" w:rsidP="00DB594C">
      <w:pPr>
        <w:pStyle w:val="NormalWeb"/>
      </w:pPr>
      <w:r>
        <w:t>1) Sistema Nervioso Central: Inestabilidad, trastornos de la palabra, somnolencia, parestesias, cefalea.</w:t>
      </w:r>
    </w:p>
    <w:p w:rsidR="00DB594C" w:rsidRDefault="00DB594C" w:rsidP="00DB594C">
      <w:pPr>
        <w:pStyle w:val="NormalWeb"/>
      </w:pPr>
      <w:r>
        <w:t xml:space="preserve">2) Litiasis </w:t>
      </w:r>
      <w:proofErr w:type="spellStart"/>
      <w:r>
        <w:t>Renoureteral</w:t>
      </w:r>
      <w:proofErr w:type="spellEnd"/>
      <w:r>
        <w:t xml:space="preserve">: Esta afección se da en el 2% de los tratados siendo más frecuente en hombres y más </w:t>
      </w:r>
      <w:proofErr w:type="spellStart"/>
      <w:r>
        <w:t>aun</w:t>
      </w:r>
      <w:proofErr w:type="spellEnd"/>
      <w:r>
        <w:t xml:space="preserve"> si tienen antecedentes familiares de litiasis.</w:t>
      </w:r>
    </w:p>
    <w:p w:rsidR="00DB594C" w:rsidRDefault="00DB594C" w:rsidP="00DB594C">
      <w:pPr>
        <w:pStyle w:val="NormalWeb"/>
      </w:pPr>
      <w:r>
        <w:lastRenderedPageBreak/>
        <w:t xml:space="preserve">3) El 30% de los pacientes tratados con </w:t>
      </w:r>
      <w:proofErr w:type="spellStart"/>
      <w:r>
        <w:t>Topiramato</w:t>
      </w:r>
      <w:proofErr w:type="spellEnd"/>
      <w:r>
        <w:t xml:space="preserve"> muestran una pérdida de peso de hasta el 10% del peso corporal.</w:t>
      </w:r>
    </w:p>
    <w:p w:rsidR="00DB594C" w:rsidRDefault="00DB594C" w:rsidP="00DB594C">
      <w:pPr>
        <w:pStyle w:val="NormalWeb"/>
      </w:pPr>
      <w:r>
        <w:t>4) Alteraciones Oftalmológicas: Glaucoma de ángulo estrecho con miopía aguda, visión borrosa, cefaleas y dolor ocular.</w:t>
      </w:r>
    </w:p>
    <w:p w:rsidR="00DB594C" w:rsidRDefault="00DB594C" w:rsidP="00DB594C">
      <w:pPr>
        <w:pStyle w:val="NormalWeb"/>
      </w:pPr>
      <w:r>
        <w:t xml:space="preserve">5) Otros: Hipertermia, acidosis metabólica por descenso del bicarbonato sanguíneo e </w:t>
      </w:r>
      <w:proofErr w:type="spellStart"/>
      <w:r>
        <w:t>hipercloremia</w:t>
      </w:r>
      <w:proofErr w:type="spellEnd"/>
      <w:r>
        <w:t>.</w:t>
      </w:r>
    </w:p>
    <w:p w:rsidR="00DB594C" w:rsidRDefault="00DB594C" w:rsidP="00DB594C">
      <w:pPr>
        <w:pStyle w:val="NormalWeb"/>
      </w:pPr>
      <w:r>
        <w:t>INTERACCIONES CON ALIMENTOS Y MEDICAMENTOS:</w:t>
      </w:r>
    </w:p>
    <w:p w:rsidR="00DB594C" w:rsidRDefault="00DB594C" w:rsidP="00DB594C">
      <w:pPr>
        <w:pStyle w:val="NormalWeb"/>
      </w:pPr>
      <w:r>
        <w:t xml:space="preserve">Efectos de </w:t>
      </w:r>
      <w:proofErr w:type="spellStart"/>
      <w:r>
        <w:t>Topiramato</w:t>
      </w:r>
      <w:proofErr w:type="spellEnd"/>
      <w:r>
        <w:t xml:space="preserve"> sobre otras drogas antiepilépticas: La adición de </w:t>
      </w:r>
      <w:proofErr w:type="spellStart"/>
      <w:r>
        <w:t>Topiramato</w:t>
      </w:r>
      <w:proofErr w:type="spellEnd"/>
      <w:r>
        <w:t xml:space="preserve"> a otras drogas antiepilépticas (</w:t>
      </w:r>
      <w:proofErr w:type="spellStart"/>
      <w:r>
        <w:t>Fenitoína</w:t>
      </w:r>
      <w:proofErr w:type="spellEnd"/>
      <w:r>
        <w:t xml:space="preserve">, </w:t>
      </w:r>
      <w:proofErr w:type="spellStart"/>
      <w:r>
        <w:t>Carbamacepina</w:t>
      </w:r>
      <w:proofErr w:type="spellEnd"/>
      <w:r>
        <w:t xml:space="preserve">, Acido </w:t>
      </w:r>
      <w:proofErr w:type="spellStart"/>
      <w:r>
        <w:t>Valproico</w:t>
      </w:r>
      <w:proofErr w:type="spellEnd"/>
      <w:r>
        <w:t xml:space="preserve">, Fenobarbital, </w:t>
      </w:r>
      <w:proofErr w:type="spellStart"/>
      <w:r>
        <w:t>Primidona</w:t>
      </w:r>
      <w:proofErr w:type="spellEnd"/>
      <w:r>
        <w:t xml:space="preserve">) no ejerce ningún efecto sobre las concentraciones plasmáticas estables de estas drogas, excepto en el paciente ocasional, en el cual la adición de </w:t>
      </w:r>
      <w:proofErr w:type="spellStart"/>
      <w:r>
        <w:t>Topiramato</w:t>
      </w:r>
      <w:proofErr w:type="spellEnd"/>
      <w:r>
        <w:t xml:space="preserve"> a </w:t>
      </w:r>
      <w:proofErr w:type="spellStart"/>
      <w:r>
        <w:t>Fenitoína</w:t>
      </w:r>
      <w:proofErr w:type="spellEnd"/>
      <w:r>
        <w:t xml:space="preserve"> puede resultar en un aumento de las concentraciones plasmáticas de </w:t>
      </w:r>
      <w:proofErr w:type="spellStart"/>
      <w:r>
        <w:t>Fenitoína</w:t>
      </w:r>
      <w:proofErr w:type="spellEnd"/>
      <w:r>
        <w:t xml:space="preserve">. </w:t>
      </w:r>
    </w:p>
    <w:p w:rsidR="00DB594C" w:rsidRDefault="00DB594C" w:rsidP="00DB594C">
      <w:pPr>
        <w:pStyle w:val="NormalWeb"/>
      </w:pPr>
      <w:r>
        <w:t xml:space="preserve">Efectos de otras drogas antiepilépticas sobre </w:t>
      </w:r>
      <w:proofErr w:type="spellStart"/>
      <w:r>
        <w:t>Topiramato</w:t>
      </w:r>
      <w:proofErr w:type="spellEnd"/>
      <w:r>
        <w:t xml:space="preserve">: </w:t>
      </w:r>
      <w:proofErr w:type="spellStart"/>
      <w:r>
        <w:t>Fenitoína</w:t>
      </w:r>
      <w:proofErr w:type="spellEnd"/>
      <w:r>
        <w:t xml:space="preserve"> y </w:t>
      </w:r>
      <w:proofErr w:type="spellStart"/>
      <w:r>
        <w:t>Carbamacepina</w:t>
      </w:r>
      <w:proofErr w:type="spellEnd"/>
      <w:r>
        <w:t xml:space="preserve"> disminuyen las concentraciones plasmáticas de </w:t>
      </w:r>
      <w:proofErr w:type="spellStart"/>
      <w:r>
        <w:t>Topiramato</w:t>
      </w:r>
      <w:proofErr w:type="spellEnd"/>
      <w:r>
        <w:t xml:space="preserve">. La adición o el retiro de </w:t>
      </w:r>
      <w:proofErr w:type="spellStart"/>
      <w:r>
        <w:t>Fenitoína</w:t>
      </w:r>
      <w:proofErr w:type="spellEnd"/>
      <w:r>
        <w:t xml:space="preserve"> o </w:t>
      </w:r>
      <w:proofErr w:type="spellStart"/>
      <w:r>
        <w:t>Carbamacepina</w:t>
      </w:r>
      <w:proofErr w:type="spellEnd"/>
      <w:r>
        <w:t xml:space="preserve"> al tratamiento con </w:t>
      </w:r>
      <w:proofErr w:type="spellStart"/>
      <w:r>
        <w:t>Topiramato</w:t>
      </w:r>
      <w:proofErr w:type="spellEnd"/>
      <w:r>
        <w:t xml:space="preserve"> </w:t>
      </w:r>
      <w:proofErr w:type="gramStart"/>
      <w:r>
        <w:t>puede</w:t>
      </w:r>
      <w:proofErr w:type="gramEnd"/>
      <w:r>
        <w:t xml:space="preserve"> requerir un ajuste de la dosis de éste último. Esto debería hacerse mediante titulación del efecto clínico. La adición o el retiro de Ácido </w:t>
      </w:r>
      <w:proofErr w:type="spellStart"/>
      <w:r>
        <w:t>Valproico</w:t>
      </w:r>
      <w:proofErr w:type="spellEnd"/>
      <w:r>
        <w:t xml:space="preserve"> no </w:t>
      </w:r>
      <w:proofErr w:type="gramStart"/>
      <w:r>
        <w:t>produce</w:t>
      </w:r>
      <w:proofErr w:type="gramEnd"/>
      <w:r>
        <w:t xml:space="preserve"> cambios clínicamente significativos en las concentraciones plasmáticas de </w:t>
      </w:r>
      <w:proofErr w:type="spellStart"/>
      <w:r>
        <w:t>Topiramato</w:t>
      </w:r>
      <w:proofErr w:type="spellEnd"/>
      <w:r>
        <w:t xml:space="preserve"> y, por lo tanto, no requiere ajustes de la dosis de </w:t>
      </w:r>
      <w:proofErr w:type="spellStart"/>
      <w:r>
        <w:t>Topiramato</w:t>
      </w:r>
      <w:proofErr w:type="spellEnd"/>
      <w:r>
        <w:t>.</w:t>
      </w:r>
    </w:p>
    <w:p w:rsidR="00DB594C" w:rsidRDefault="00DB594C" w:rsidP="00DB594C">
      <w:pPr>
        <w:pStyle w:val="NormalWeb"/>
      </w:pPr>
      <w:proofErr w:type="spellStart"/>
      <w:r>
        <w:t>Digoxina</w:t>
      </w:r>
      <w:proofErr w:type="spellEnd"/>
      <w:r>
        <w:t xml:space="preserve">: Cuando se agrega o se retira </w:t>
      </w:r>
      <w:proofErr w:type="spellStart"/>
      <w:r>
        <w:t>Topiramato</w:t>
      </w:r>
      <w:proofErr w:type="spellEnd"/>
      <w:r>
        <w:t xml:space="preserve"> a pacientes bajo tratamiento con </w:t>
      </w:r>
      <w:proofErr w:type="spellStart"/>
      <w:r>
        <w:t>digoxina</w:t>
      </w:r>
      <w:proofErr w:type="spellEnd"/>
      <w:r>
        <w:t xml:space="preserve">, se debería prestar atención al monitoreo rutinario de </w:t>
      </w:r>
      <w:proofErr w:type="spellStart"/>
      <w:r>
        <w:t>digoxina</w:t>
      </w:r>
      <w:proofErr w:type="spellEnd"/>
      <w:r>
        <w:t xml:space="preserve"> sérica.</w:t>
      </w:r>
    </w:p>
    <w:p w:rsidR="00DB594C" w:rsidRDefault="00DB594C" w:rsidP="00DB594C">
      <w:pPr>
        <w:pStyle w:val="NormalWeb"/>
      </w:pPr>
      <w:r>
        <w:t xml:space="preserve">Depresores del S.N.C: Se recomienda que </w:t>
      </w:r>
      <w:proofErr w:type="spellStart"/>
      <w:r>
        <w:t>Topiramato</w:t>
      </w:r>
      <w:proofErr w:type="spellEnd"/>
      <w:r>
        <w:t xml:space="preserve"> no se administre concomitantemente con alcohol u otros depresores del S.N.C.</w:t>
      </w:r>
    </w:p>
    <w:p w:rsidR="00DB594C" w:rsidRDefault="00DB594C" w:rsidP="00DB594C">
      <w:pPr>
        <w:pStyle w:val="NormalWeb"/>
      </w:pPr>
      <w:r>
        <w:t>Anticonceptivos orales: La eficacia de bajas dosis (20 mg) de anticonceptivos orales puede verse reducida en estas circunstancias. Aquellas pacientes bajo tratamiento con anticonceptivos orales deberían ser advertidas para que consulten en caso de cambio en sus menstruaciones.</w:t>
      </w:r>
    </w:p>
    <w:p w:rsidR="00DB594C" w:rsidRDefault="00DB594C" w:rsidP="00DB594C">
      <w:pPr>
        <w:pStyle w:val="NormalWeb"/>
      </w:pPr>
      <w:r>
        <w:t xml:space="preserve">Otros: Cuando se administra concomitantemente </w:t>
      </w:r>
      <w:proofErr w:type="spellStart"/>
      <w:r>
        <w:t>Topiramato</w:t>
      </w:r>
      <w:proofErr w:type="spellEnd"/>
      <w:r>
        <w:t xml:space="preserve"> con otras drogas que predisponen a nefrolitiasis, puede aumentar el riesgo de nefrolitiasis. Mientras se administra </w:t>
      </w:r>
      <w:proofErr w:type="spellStart"/>
      <w:r>
        <w:t>Topiramato</w:t>
      </w:r>
      <w:proofErr w:type="spellEnd"/>
      <w:r>
        <w:t>, drogas como estas deberían ser evitadas dado que pueden crear un entorno fisiológico que aumente el riesgo de formación de cálculos renales.</w:t>
      </w:r>
    </w:p>
    <w:p w:rsidR="00DB594C" w:rsidRDefault="00DB594C" w:rsidP="00DB594C">
      <w:pPr>
        <w:pStyle w:val="NormalWeb"/>
      </w:pPr>
      <w:r>
        <w:t>SOBREDOSIFICACION:</w:t>
      </w:r>
    </w:p>
    <w:p w:rsidR="00DB594C" w:rsidRDefault="00DB594C" w:rsidP="00DB594C">
      <w:pPr>
        <w:pStyle w:val="NormalWeb"/>
      </w:pPr>
      <w:r>
        <w:t xml:space="preserve">En caso de sobredosis aguda con </w:t>
      </w:r>
      <w:proofErr w:type="spellStart"/>
      <w:r>
        <w:t>Topiramato</w:t>
      </w:r>
      <w:proofErr w:type="spellEnd"/>
      <w:r>
        <w:t xml:space="preserve">, si la ingestión fuera reciente, se debería realizar lavado gástrico inmediatamente o </w:t>
      </w:r>
    </w:p>
    <w:p w:rsidR="00DB594C" w:rsidRDefault="00DB594C" w:rsidP="00DB594C">
      <w:pPr>
        <w:pStyle w:val="NormalWeb"/>
      </w:pPr>
      <w:proofErr w:type="gramStart"/>
      <w:r>
        <w:t>inducción</w:t>
      </w:r>
      <w:proofErr w:type="gramEnd"/>
      <w:r>
        <w:t xml:space="preserve"> del vómito. No se recomienda el uso del carbón activado en caso de sobredosis. Las medidas de sostén deberán emplearse de acuerdo con la necesidad. La hemodiálisis es un medio eficaz para remover </w:t>
      </w:r>
      <w:proofErr w:type="spellStart"/>
      <w:r>
        <w:t>Topiramato</w:t>
      </w:r>
      <w:proofErr w:type="spellEnd"/>
      <w:r>
        <w:t xml:space="preserve"> del cuerpo. Sin embargo, en </w:t>
      </w:r>
      <w:r>
        <w:lastRenderedPageBreak/>
        <w:t>casos de sobredosis aguda, incluyendo dosis de más de 20 g en un sólo individuo, no fue necesaria la hemodiálisis.</w:t>
      </w:r>
    </w:p>
    <w:p w:rsidR="00DB594C" w:rsidRDefault="00DB594C" w:rsidP="00DB594C">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DB594C" w:rsidRDefault="00DB594C" w:rsidP="00DB594C">
      <w:pPr>
        <w:pStyle w:val="NormalWeb"/>
      </w:pPr>
      <w:r>
        <w:t>RESTRICCIONES DE USO:</w:t>
      </w:r>
    </w:p>
    <w:p w:rsidR="00DB594C" w:rsidRDefault="00DB594C" w:rsidP="00DB594C">
      <w:pPr>
        <w:pStyle w:val="NormalWeb"/>
      </w:pPr>
      <w:r>
        <w:t>Se restringe su uso en el embarazo y en lactancia.</w:t>
      </w:r>
    </w:p>
    <w:p w:rsidR="00DB594C" w:rsidRDefault="00DB594C" w:rsidP="00DB594C">
      <w:pPr>
        <w:pStyle w:val="NormalWeb"/>
      </w:pPr>
      <w:r>
        <w:t>CONSERVACION:</w:t>
      </w:r>
    </w:p>
    <w:p w:rsidR="00DB594C" w:rsidRDefault="00DB594C" w:rsidP="00DB594C">
      <w:pPr>
        <w:pStyle w:val="NormalWeb"/>
      </w:pPr>
      <w:r>
        <w:t>Conservar en lugar fresco y seco (entre 15º a 30ºC).</w:t>
      </w:r>
    </w:p>
    <w:p w:rsidR="00DB594C" w:rsidRDefault="00DB594C" w:rsidP="00DB594C">
      <w:pPr>
        <w:pStyle w:val="NormalWeb"/>
      </w:pPr>
      <w:r>
        <w:t>PRESENTACION:</w:t>
      </w:r>
    </w:p>
    <w:p w:rsidR="00DB594C" w:rsidRDefault="00DB594C" w:rsidP="00DB594C">
      <w:pPr>
        <w:pStyle w:val="NormalWeb"/>
      </w:pPr>
      <w:r>
        <w:t>Caja conteniendo 30 comprimidos recubiertos.</w:t>
      </w:r>
    </w:p>
    <w:p w:rsidR="00DB594C" w:rsidRDefault="00DB594C" w:rsidP="00DB594C">
      <w:pPr>
        <w:pStyle w:val="NormalWeb"/>
      </w:pPr>
      <w:r>
        <w:t xml:space="preserve">Estos medicamentos deben ser usados únicamente por prescripción médica y no podrán repetirse sin nueva indicación del facultativo. </w:t>
      </w:r>
    </w:p>
    <w:p w:rsidR="00DB594C" w:rsidRDefault="00DB594C" w:rsidP="00DB594C">
      <w:pPr>
        <w:pStyle w:val="NormalWeb"/>
      </w:pPr>
      <w:r>
        <w:t>En caso de uso de estos medicamentos sin prescripción médica, la ocurrencia de efectos adversos e indeseables será de exclusiva responsabilidad de quien lo consuma.</w:t>
      </w:r>
    </w:p>
    <w:p w:rsidR="00DB594C" w:rsidRDefault="00DB594C" w:rsidP="00DB594C">
      <w:pPr>
        <w:pStyle w:val="NormalWeb"/>
      </w:pPr>
      <w:r>
        <w:t>Si Ud. es deportista y está sometido a control de doping, no consuma estos productos sin consultar a su médico.</w:t>
      </w:r>
    </w:p>
    <w:p w:rsidR="00DB594C" w:rsidRDefault="00DB594C" w:rsidP="00DB594C">
      <w:pPr>
        <w:pStyle w:val="NormalWeb"/>
      </w:pPr>
      <w:r>
        <w:t>Director Técnico: Q.F. Laura Ramírez</w:t>
      </w:r>
    </w:p>
    <w:p w:rsidR="00DB594C" w:rsidRDefault="00DB594C" w:rsidP="00DB594C">
      <w:pPr>
        <w:pStyle w:val="NormalWeb"/>
      </w:pPr>
      <w:r>
        <w:t>Reg. Prof. Nº 4.142</w:t>
      </w:r>
    </w:p>
    <w:p w:rsidR="00DB594C" w:rsidRDefault="00DB594C" w:rsidP="00DB594C">
      <w:pPr>
        <w:pStyle w:val="NormalWeb"/>
      </w:pPr>
      <w:r>
        <w:t>Autorizado por el M.S.P. y B.S.</w:t>
      </w:r>
    </w:p>
    <w:p w:rsidR="00DB594C" w:rsidRDefault="00DB594C" w:rsidP="00DB594C">
      <w:pPr>
        <w:pStyle w:val="NormalWeb"/>
      </w:pPr>
      <w:r>
        <w:t>MANTENER FUERA DEL ALCANCE DE LOS NIÑOS</w:t>
      </w:r>
    </w:p>
    <w:p w:rsidR="001868BB" w:rsidRPr="00DB594C" w:rsidRDefault="001868BB" w:rsidP="00DB594C">
      <w:bookmarkStart w:id="0" w:name="_GoBack"/>
      <w:bookmarkEnd w:id="0"/>
    </w:p>
    <w:sectPr w:rsidR="001868BB" w:rsidRPr="00DB59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C9"/>
    <w:rsid w:val="001868BB"/>
    <w:rsid w:val="00507F51"/>
    <w:rsid w:val="00692CC9"/>
    <w:rsid w:val="00DB594C"/>
    <w:rsid w:val="00E6053D"/>
    <w:rsid w:val="00FA54B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5456-18B2-4F58-82E2-415DCEF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CC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7007">
      <w:bodyDiv w:val="1"/>
      <w:marLeft w:val="0"/>
      <w:marRight w:val="0"/>
      <w:marTop w:val="0"/>
      <w:marBottom w:val="0"/>
      <w:divBdr>
        <w:top w:val="none" w:sz="0" w:space="0" w:color="auto"/>
        <w:left w:val="none" w:sz="0" w:space="0" w:color="auto"/>
        <w:bottom w:val="none" w:sz="0" w:space="0" w:color="auto"/>
        <w:right w:val="none" w:sz="0" w:space="0" w:color="auto"/>
      </w:divBdr>
    </w:div>
    <w:div w:id="671686139">
      <w:bodyDiv w:val="1"/>
      <w:marLeft w:val="0"/>
      <w:marRight w:val="0"/>
      <w:marTop w:val="0"/>
      <w:marBottom w:val="0"/>
      <w:divBdr>
        <w:top w:val="none" w:sz="0" w:space="0" w:color="auto"/>
        <w:left w:val="none" w:sz="0" w:space="0" w:color="auto"/>
        <w:bottom w:val="none" w:sz="0" w:space="0" w:color="auto"/>
        <w:right w:val="none" w:sz="0" w:space="0" w:color="auto"/>
      </w:divBdr>
    </w:div>
    <w:div w:id="1482425474">
      <w:bodyDiv w:val="1"/>
      <w:marLeft w:val="0"/>
      <w:marRight w:val="0"/>
      <w:marTop w:val="0"/>
      <w:marBottom w:val="0"/>
      <w:divBdr>
        <w:top w:val="none" w:sz="0" w:space="0" w:color="auto"/>
        <w:left w:val="none" w:sz="0" w:space="0" w:color="auto"/>
        <w:bottom w:val="none" w:sz="0" w:space="0" w:color="auto"/>
        <w:right w:val="none" w:sz="0" w:space="0" w:color="auto"/>
      </w:divBdr>
    </w:div>
    <w:div w:id="20949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2020-12-02T12:44:00Z</dcterms:created>
  <dcterms:modified xsi:type="dcterms:W3CDTF">2020-12-02T12:44:00Z</dcterms:modified>
</cp:coreProperties>
</file>