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63" w:rsidRDefault="00EB6963" w:rsidP="00EB6963">
      <w:pPr>
        <w:pStyle w:val="NormalWeb"/>
      </w:pPr>
      <w:r>
        <w:t>VITAFORTE® PRENATAL</w:t>
      </w:r>
    </w:p>
    <w:p w:rsidR="00EB6963" w:rsidRDefault="00EB6963" w:rsidP="00EB6963">
      <w:pPr>
        <w:pStyle w:val="NormalWeb"/>
      </w:pPr>
      <w:r>
        <w:t>FORMULA:</w:t>
      </w:r>
    </w:p>
    <w:p w:rsidR="00EB6963" w:rsidRDefault="00EB6963" w:rsidP="00EB6963">
      <w:pPr>
        <w:pStyle w:val="NormalWeb"/>
      </w:pPr>
      <w:r>
        <w:t>Cada comprimido recubierto contiene:</w:t>
      </w:r>
    </w:p>
    <w:p w:rsidR="00EB6963" w:rsidRDefault="00EB6963" w:rsidP="00EB6963">
      <w:pPr>
        <w:pStyle w:val="NormalWeb"/>
      </w:pPr>
      <w:r>
        <w:t>VITAMINAS</w:t>
      </w:r>
    </w:p>
    <w:p w:rsidR="00EB6963" w:rsidRDefault="00EB6963" w:rsidP="00EB6963">
      <w:pPr>
        <w:pStyle w:val="NormalWeb"/>
      </w:pPr>
      <w:r>
        <w:t>A (como retinil palmitato)................................3.000 U.I.</w:t>
      </w:r>
    </w:p>
    <w:p w:rsidR="00EB6963" w:rsidRDefault="00EB6963" w:rsidP="00EB6963">
      <w:pPr>
        <w:pStyle w:val="NormalWeb"/>
      </w:pPr>
      <w:r>
        <w:t>D (como calciferol).............................................400 U.I.</w:t>
      </w:r>
    </w:p>
    <w:p w:rsidR="00EB6963" w:rsidRDefault="00EB6963" w:rsidP="00EB6963">
      <w:pPr>
        <w:pStyle w:val="NormalWeb"/>
      </w:pPr>
      <w:r>
        <w:t>E (como di-alfatocoferoacetato)..........................10 U.I.</w:t>
      </w:r>
    </w:p>
    <w:p w:rsidR="00EB6963" w:rsidRDefault="00EB6963" w:rsidP="00EB6963">
      <w:pPr>
        <w:pStyle w:val="NormalWeb"/>
      </w:pPr>
      <w:r>
        <w:t>C (ácido ascórbico).............................................70 mg.</w:t>
      </w:r>
    </w:p>
    <w:p w:rsidR="00EB6963" w:rsidRDefault="00EB6963" w:rsidP="00EB6963">
      <w:pPr>
        <w:pStyle w:val="NormalWeb"/>
      </w:pPr>
      <w:r>
        <w:t>Acido Fólico...........................................................1 mg.</w:t>
      </w:r>
    </w:p>
    <w:p w:rsidR="00EB6963" w:rsidRDefault="00EB6963" w:rsidP="00EB6963">
      <w:pPr>
        <w:pStyle w:val="NormalWeb"/>
      </w:pPr>
      <w:r>
        <w:t>B1 (como mononitrato de tiamina)......................1,5 mg.</w:t>
      </w:r>
    </w:p>
    <w:p w:rsidR="00EB6963" w:rsidRDefault="00EB6963" w:rsidP="00EB6963">
      <w:pPr>
        <w:pStyle w:val="NormalWeb"/>
      </w:pPr>
      <w:r>
        <w:t>B2 (como riboflavina)..........................................1,6 mg.</w:t>
      </w:r>
    </w:p>
    <w:p w:rsidR="00EB6963" w:rsidRDefault="00EB6963" w:rsidP="00EB6963">
      <w:pPr>
        <w:pStyle w:val="NormalWeb"/>
      </w:pPr>
      <w:r>
        <w:t>Niacina (niacinamida)..........................................17 mg.</w:t>
      </w:r>
    </w:p>
    <w:p w:rsidR="00EB6963" w:rsidRDefault="00EB6963" w:rsidP="00EB6963">
      <w:pPr>
        <w:pStyle w:val="NormalWeb"/>
      </w:pPr>
      <w:r>
        <w:t>B6 (clorhidrato de piridoxina)..............................2,2 mg.</w:t>
      </w:r>
    </w:p>
    <w:p w:rsidR="00EB6963" w:rsidRDefault="00EB6963" w:rsidP="00EB6963">
      <w:pPr>
        <w:pStyle w:val="NormalWeb"/>
      </w:pPr>
      <w:r>
        <w:t>B12 (hidroxocobalamina)...................................2,2 mg.</w:t>
      </w:r>
    </w:p>
    <w:p w:rsidR="00EB6963" w:rsidRDefault="00EB6963" w:rsidP="00EB6963">
      <w:pPr>
        <w:pStyle w:val="NormalWeb"/>
      </w:pPr>
      <w:r>
        <w:t>MINERALES</w:t>
      </w:r>
    </w:p>
    <w:p w:rsidR="00EB6963" w:rsidRDefault="00EB6963" w:rsidP="00EB6963">
      <w:pPr>
        <w:pStyle w:val="NormalWeb"/>
      </w:pPr>
      <w:r>
        <w:t>Calcio (como carbonato de calcio)....................200 mg.</w:t>
      </w:r>
    </w:p>
    <w:p w:rsidR="00EB6963" w:rsidRDefault="00EB6963" w:rsidP="00EB6963">
      <w:pPr>
        <w:pStyle w:val="NormalWeb"/>
      </w:pPr>
      <w:r>
        <w:t>Hierro (como fumarato ferroso)...........................65 mg.</w:t>
      </w:r>
    </w:p>
    <w:p w:rsidR="00EB6963" w:rsidRDefault="00EB6963" w:rsidP="00EB6963">
      <w:pPr>
        <w:pStyle w:val="NormalWeb"/>
      </w:pPr>
      <w:r>
        <w:t>Magnesio (como oxido de magnesio)...............100 mg.</w:t>
      </w:r>
    </w:p>
    <w:p w:rsidR="00EB6963" w:rsidRDefault="00EB6963" w:rsidP="00EB6963">
      <w:pPr>
        <w:pStyle w:val="NormalWeb"/>
      </w:pPr>
      <w:r>
        <w:t>Zinc (como oxido de zinc)....................................15 mg.</w:t>
      </w:r>
    </w:p>
    <w:p w:rsidR="00EB6963" w:rsidRDefault="00EB6963" w:rsidP="00EB6963">
      <w:pPr>
        <w:pStyle w:val="NormalWeb"/>
      </w:pPr>
      <w:r>
        <w:t>Excipientes............................................................c.s.p.</w:t>
      </w:r>
    </w:p>
    <w:p w:rsidR="00EB6963" w:rsidRDefault="00EB6963" w:rsidP="00EB6963">
      <w:pPr>
        <w:pStyle w:val="NormalWeb"/>
      </w:pPr>
      <w:r>
        <w:t>ACCION TERAPEUTICA:</w:t>
      </w:r>
    </w:p>
    <w:p w:rsidR="00EB6963" w:rsidRDefault="00EB6963" w:rsidP="00EB6963">
      <w:pPr>
        <w:pStyle w:val="NormalWeb"/>
      </w:pPr>
      <w:r>
        <w:t>Multivitamínico prenatal con aporte suplementario de Hierro, Acido Fólico y minerales.</w:t>
      </w:r>
    </w:p>
    <w:p w:rsidR="00EB6963" w:rsidRDefault="00EB6963" w:rsidP="00EB6963">
      <w:pPr>
        <w:pStyle w:val="NormalWeb"/>
      </w:pPr>
      <w:r>
        <w:t>MECANISMO DE ACCION Y DATOS FARMACOCINETICOS:</w:t>
      </w:r>
    </w:p>
    <w:p w:rsidR="00EB6963" w:rsidRDefault="00EB6963" w:rsidP="00EB6963">
      <w:pPr>
        <w:pStyle w:val="NormalWeb"/>
      </w:pPr>
      <w:r>
        <w:t>Vitamina A: Se absorbe principalmente en el intestino delgado, se une a la albúmina del plasma y se distribuye en el organismo acumulándose principalmente en el hígado y en la retina. Se elimina en pequeñas cantidades por la orina.</w:t>
      </w:r>
    </w:p>
    <w:p w:rsidR="00EB6963" w:rsidRDefault="00EB6963" w:rsidP="00EB6963">
      <w:pPr>
        <w:pStyle w:val="NormalWeb"/>
      </w:pPr>
      <w:r>
        <w:lastRenderedPageBreak/>
        <w:t>Tiamina (Vitamina B1): Se absorbe en el tracto gastro-intestinal por transporte activo dependiente de sodio; a concentraciones más altas puede ser absorbida por difusión pasiva, es degradada en los tejidos y excretada por la orina como producto de degradación (Pirimidina) o como Tiamina intacta.</w:t>
      </w:r>
    </w:p>
    <w:p w:rsidR="00EB6963" w:rsidRDefault="00EB6963" w:rsidP="00EB6963">
      <w:pPr>
        <w:pStyle w:val="NormalWeb"/>
      </w:pPr>
      <w:r>
        <w:t>Riboflavina (Vitamina B2): Se absorbe rápidamente en el tracto gastrointestinal superior por un mecanismo de transporte específico. Se metaboliza en el tracto gastrointestinal y en otros tejidos, distribuyéndose en todos los tejidos aunque se almacena en poca cantidad. Se excreta por la orina.</w:t>
      </w:r>
    </w:p>
    <w:p w:rsidR="00EB6963" w:rsidRDefault="00EB6963" w:rsidP="00EB6963">
      <w:pPr>
        <w:pStyle w:val="NormalWeb"/>
      </w:pPr>
      <w:r>
        <w:t>Piridoxina (Vitamina B6): Se absorbe rápidamente en el aparato digestivo excretándose en forma de ácido piridóxico.</w:t>
      </w:r>
    </w:p>
    <w:p w:rsidR="00EB6963" w:rsidRDefault="00EB6963" w:rsidP="00EB6963">
      <w:pPr>
        <w:pStyle w:val="NormalWeb"/>
      </w:pPr>
      <w:r>
        <w:t>Cianocobalamina (Vitamina B12): En condiciones normales se absorbe en el tracto gastrointestinal y se fija a la transcobalamina II, que la transporta a los tejidos y de preferencia a las células hepáticas donde se almacena en forma de coenzima activa. Es excretada por la bilis por medio de un ciclo enterohepático que juega un papel importante en las reservas de esta Vitamina.</w:t>
      </w:r>
    </w:p>
    <w:p w:rsidR="00EB6963" w:rsidRDefault="00EB6963" w:rsidP="00EB6963">
      <w:pPr>
        <w:pStyle w:val="NormalWeb"/>
      </w:pPr>
      <w:r>
        <w:t>Acido ascórbico (Vitamina C): Se absorbe rápidamente en el intestino pasando al plasma y distribuyéndose de manera selectiva en las células del organismo. Se biotransforma en el organismo y los productos se eliminan por la orina.</w:t>
      </w:r>
    </w:p>
    <w:p w:rsidR="00EB6963" w:rsidRDefault="00EB6963" w:rsidP="00EB6963">
      <w:pPr>
        <w:pStyle w:val="NormalWeb"/>
      </w:pPr>
      <w:r>
        <w:t>Vitamina D: Se absorbe en el intestino delgado por medio de la acción de la bilis y circula en sangre asociada a una a-globulina específica con una vida media plasmática de 19 a 25 horas, almacenándose en los depósitos de grasa por períodos prolongados. Se metaboliza en el hígado y se excreta principalmente por la bilis; sólo un pequeño porcentaje se elimina en la orina.</w:t>
      </w:r>
    </w:p>
    <w:p w:rsidR="00EB6963" w:rsidRDefault="00EB6963" w:rsidP="00EB6963">
      <w:pPr>
        <w:pStyle w:val="NormalWeb"/>
      </w:pPr>
      <w:r>
        <w:t>a-tocoferol (Vitamina E): Se absorbe en el tracto gastrointestinal, se asocia a las b-lipoproteínas plasmáticas distribuyéndose a todos los tejidos. Se excreta a través del hígado y en forma de metabolitos en la orina.</w:t>
      </w:r>
    </w:p>
    <w:p w:rsidR="00EB6963" w:rsidRDefault="00EB6963" w:rsidP="00EB6963">
      <w:pPr>
        <w:pStyle w:val="NormalWeb"/>
      </w:pPr>
      <w:r>
        <w:t>Acido Fólico: Se absorbe en la porción proximal del intestino delgado, se une de manera parcial a proteínas plasmáticas y se almacena dentro de las células como poliglutamatos. Se excreta por la bilis por medio de un ciclo enterohepático.</w:t>
      </w:r>
    </w:p>
    <w:p w:rsidR="00EB6963" w:rsidRDefault="00EB6963" w:rsidP="00EB6963">
      <w:pPr>
        <w:pStyle w:val="NormalWeb"/>
      </w:pPr>
      <w:r>
        <w:t>Hierro: Es absorbido en general en el intestino delgado superior, distribuido hacia los sitios donde se efectúa la eritropoyesis y almacenado en forma de ferritina. Los sitios más importantes para el depósito de hierro son el sistema reticuloendotelial y los hepatocitos.</w:t>
      </w:r>
    </w:p>
    <w:p w:rsidR="00EB6963" w:rsidRDefault="00EB6963" w:rsidP="00EB6963">
      <w:pPr>
        <w:pStyle w:val="NormalWeb"/>
      </w:pPr>
      <w:r>
        <w:t>INDICACIONES TERAPEUTICAS:</w:t>
      </w:r>
    </w:p>
    <w:p w:rsidR="00EB6963" w:rsidRDefault="00EB6963" w:rsidP="00EB6963">
      <w:pPr>
        <w:pStyle w:val="NormalWeb"/>
      </w:pPr>
      <w:r>
        <w:t>Complemento nutricional durante el embarazo y la lactancia. Anemia del embarazo.</w:t>
      </w:r>
    </w:p>
    <w:p w:rsidR="00EB6963" w:rsidRDefault="00EB6963" w:rsidP="00EB6963">
      <w:pPr>
        <w:pStyle w:val="NormalWeb"/>
      </w:pPr>
      <w:r>
        <w:t>Prevención de la prematurez.</w:t>
      </w:r>
    </w:p>
    <w:p w:rsidR="00EB6963" w:rsidRDefault="00EB6963" w:rsidP="00EB6963">
      <w:pPr>
        <w:pStyle w:val="NormalWeb"/>
      </w:pPr>
      <w:r>
        <w:t>Prevención de defectos del tubo neural en el recién nacido.</w:t>
      </w:r>
    </w:p>
    <w:p w:rsidR="00EB6963" w:rsidRDefault="00EB6963" w:rsidP="00EB6963">
      <w:pPr>
        <w:pStyle w:val="NormalWeb"/>
      </w:pPr>
      <w:r>
        <w:lastRenderedPageBreak/>
        <w:t>POSOLOGIA:</w:t>
      </w:r>
    </w:p>
    <w:p w:rsidR="00EB6963" w:rsidRDefault="00EB6963" w:rsidP="00EB6963">
      <w:pPr>
        <w:pStyle w:val="NormalWeb"/>
      </w:pPr>
      <w:r>
        <w:t>Tomar 1 comprimido al día junto con el desayuno o según lo indique el médico. En caso de presentar vómitos durante el embarazo, se recomienda tomar el comprimido durante cierto tiempo al medio día o incluso por la noche.</w:t>
      </w:r>
    </w:p>
    <w:p w:rsidR="00EB6963" w:rsidRDefault="00EB6963" w:rsidP="00EB6963">
      <w:pPr>
        <w:pStyle w:val="NormalWeb"/>
      </w:pPr>
      <w:r>
        <w:t>CONTRAINDICACIONES:</w:t>
      </w:r>
    </w:p>
    <w:p w:rsidR="00EB6963" w:rsidRDefault="00EB6963" w:rsidP="00EB6963">
      <w:pPr>
        <w:pStyle w:val="NormalWeb"/>
      </w:pPr>
      <w:r>
        <w:t>No debe administrarse este producto en caso de hipervitaminosis A y/o hipervitaminosis D, insuficiencia renal, acumulación de hierro, trastornos de asimilación de este mineral, hipercalcemia ni hipercalciuria.</w:t>
      </w:r>
    </w:p>
    <w:p w:rsidR="00EB6963" w:rsidRDefault="00EB6963" w:rsidP="00EB6963">
      <w:pPr>
        <w:pStyle w:val="NormalWeb"/>
      </w:pPr>
      <w:r>
        <w:t>PRECAUCIONES Y ADVERTENCIAS:</w:t>
      </w:r>
    </w:p>
    <w:p w:rsidR="00EB6963" w:rsidRDefault="00EB6963" w:rsidP="00EB6963">
      <w:pPr>
        <w:pStyle w:val="NormalWeb"/>
      </w:pPr>
      <w:r>
        <w:t>Las vitaminas, minerales y oligoelementos contenidos proporcionan una suplementación adecuada de la dieta necesaria durante el embarazo y el período subsiguiente. El contenido en hierro es útil en la prevención de anemia ferropénica, de frecuente aparición durante el embarazo. Por ello, en la mayoría de los casos no es necesario un tratamiento adicional con hierro. En el embarazo no se recomienda dosis diarias superiores a 6000 unidades de Vitamina A.</w:t>
      </w:r>
    </w:p>
    <w:p w:rsidR="00EB6963" w:rsidRDefault="00EB6963" w:rsidP="00EB6963">
      <w:pPr>
        <w:pStyle w:val="NormalWeb"/>
      </w:pPr>
      <w:r>
        <w:t>REACCIONES ADVERSAS Y EFECTOS COLATERALES:</w:t>
      </w:r>
    </w:p>
    <w:p w:rsidR="00EB6963" w:rsidRDefault="00EB6963" w:rsidP="00EB6963">
      <w:pPr>
        <w:pStyle w:val="NormalWeb"/>
      </w:pPr>
      <w:r>
        <w:t>El producto es bien tolerado. En casos poco frecuentes se producen trastornos gastrointestinales (por ejemplo: Estreñimiento), que por lo general no requieren ningún tratamiento. En las mujeres con una sensibilidad especial, puede producirse una cierta hiperestimulación. En este caso, no debe tomarse el preparado por la noche.</w:t>
      </w:r>
    </w:p>
    <w:p w:rsidR="00EB6963" w:rsidRDefault="00EB6963" w:rsidP="00EB6963">
      <w:pPr>
        <w:pStyle w:val="NormalWeb"/>
      </w:pPr>
      <w:r>
        <w:t>INTERACCIONES CON ALIMENTOS Y MEDICAMENTOS:</w:t>
      </w:r>
    </w:p>
    <w:p w:rsidR="00EB6963" w:rsidRDefault="00EB6963" w:rsidP="00EB6963">
      <w:pPr>
        <w:pStyle w:val="NormalWeb"/>
      </w:pPr>
      <w:r>
        <w:t>Durante un tratamiento con tetraciclinas no han de administrarse preparados que contienen hierro por la posibilidad de que estos medicamentos interfieran mutuamente en su absorción. En caso de que fuera necesaria una terapia concomitante con tetraciclinas, deben dejarse transcurrir unas 2 horas entre ambas medicaciones.</w:t>
      </w:r>
    </w:p>
    <w:p w:rsidR="00EB6963" w:rsidRDefault="00EB6963" w:rsidP="00EB6963">
      <w:pPr>
        <w:pStyle w:val="NormalWeb"/>
      </w:pPr>
      <w:r>
        <w:t>SOBREDOSIFICACION:</w:t>
      </w:r>
    </w:p>
    <w:p w:rsidR="00EB6963" w:rsidRDefault="00EB6963" w:rsidP="00EB6963">
      <w:pPr>
        <w:pStyle w:val="NormalWeb"/>
      </w:pPr>
      <w:r>
        <w:t xml:space="preserve">Vitamina A: Se ha informado casos de mujeres que ingirieron cantidades excesivas de Vitamina A durante el embarazo </w:t>
      </w:r>
      <w:proofErr w:type="gramStart"/>
      <w:r>
        <w:t>cuyo</w:t>
      </w:r>
      <w:proofErr w:type="gramEnd"/>
      <w:r>
        <w:t xml:space="preserve"> hijos manifestaron retraso en el crecimiento y cierre prematuro de la epífisis.</w:t>
      </w:r>
    </w:p>
    <w:p w:rsidR="00EB6963" w:rsidRDefault="00EB6963" w:rsidP="00EB6963">
      <w:pPr>
        <w:pStyle w:val="NormalWeb"/>
      </w:pPr>
      <w:r>
        <w:t>Vitamina D: El margen entre la dosis terapéutica y la dosis tóxica es estrecho. Un ajuste de la dosis debe realizarse tan pronto como se observe una mejoría clínica. La sobredosificación puede provocar calcificación vascular generalizada, nefrocalcinosis y calcificaciones de otros tejidos blandos. Debe reajustarse el consumo dietético de alimentos fortificados con Vitamina D para evitar los graves trastornos de la sobredosificación de Ergocalciferol y Vitamina D o análogos. El uso pediátrico debe estar bajo estricta vigilancia médica.</w:t>
      </w:r>
    </w:p>
    <w:p w:rsidR="00EB6963" w:rsidRDefault="00EB6963" w:rsidP="00EB6963">
      <w:pPr>
        <w:pStyle w:val="NormalWeb"/>
      </w:pPr>
      <w:r>
        <w:lastRenderedPageBreak/>
        <w:t>En caso de sobredosis o ingestión accidental, consultar al Servicio de Toxicología del Hospital de EMERGENCIAS MEDICAS Tel.: 220-418 o el 204-800 (int. 011).</w:t>
      </w:r>
    </w:p>
    <w:p w:rsidR="00EB6963" w:rsidRDefault="00EB6963" w:rsidP="00EB6963">
      <w:pPr>
        <w:pStyle w:val="NormalWeb"/>
      </w:pPr>
      <w:r>
        <w:t>RESTRICCIONES DE USO:</w:t>
      </w:r>
    </w:p>
    <w:p w:rsidR="00EB6963" w:rsidRDefault="00EB6963" w:rsidP="00EB6963">
      <w:pPr>
        <w:pStyle w:val="NormalWeb"/>
      </w:pPr>
      <w:r>
        <w:t>No debe ser administrado en presencia de hipervitaminosis A o D, insuficiencia renal o durante tratamientos con retinoides.</w:t>
      </w:r>
    </w:p>
    <w:p w:rsidR="00EB6963" w:rsidRDefault="00EB6963" w:rsidP="00EB6963">
      <w:pPr>
        <w:pStyle w:val="NormalWeb"/>
      </w:pPr>
      <w:r>
        <w:t>CONSERVACION:</w:t>
      </w:r>
    </w:p>
    <w:p w:rsidR="00EB6963" w:rsidRDefault="00EB6963" w:rsidP="00EB6963">
      <w:pPr>
        <w:pStyle w:val="NormalWeb"/>
      </w:pPr>
      <w:r>
        <w:t>En su envase original, a temperatura ambiente (15º a 30ºC).</w:t>
      </w:r>
    </w:p>
    <w:p w:rsidR="00EB6963" w:rsidRDefault="00EB6963" w:rsidP="00EB6963">
      <w:pPr>
        <w:pStyle w:val="NormalWeb"/>
      </w:pPr>
      <w:r>
        <w:t>PRESENTACION:</w:t>
      </w:r>
    </w:p>
    <w:p w:rsidR="00EB6963" w:rsidRDefault="00EB6963" w:rsidP="00EB6963">
      <w:pPr>
        <w:pStyle w:val="NormalWeb"/>
      </w:pPr>
      <w:r>
        <w:t>Envase conteniendo 30 comprimidos recubiertos.</w:t>
      </w:r>
    </w:p>
    <w:p w:rsidR="00EB6963" w:rsidRDefault="00EB6963" w:rsidP="00EB6963">
      <w:pPr>
        <w:pStyle w:val="NormalWeb"/>
      </w:pPr>
      <w:r>
        <w:t>Este medicamento debe ser utilizado únicamente por prescripción médica y no podrá repetirse sin nueva indicación del facultativo.</w:t>
      </w:r>
    </w:p>
    <w:p w:rsidR="00EB6963" w:rsidRDefault="00EB6963" w:rsidP="00EB6963">
      <w:pPr>
        <w:pStyle w:val="NormalWeb"/>
      </w:pPr>
      <w:r>
        <w:t>En caso de uso de este medicamento sin prescripción médica, la ocurrencia de efectos adversos e indeseables será de exclusiva responsabilidad de quien lo consuma.</w:t>
      </w:r>
    </w:p>
    <w:p w:rsidR="00EB6963" w:rsidRDefault="00EB6963" w:rsidP="00EB6963">
      <w:pPr>
        <w:pStyle w:val="NormalWeb"/>
      </w:pPr>
      <w:r>
        <w:t>Si Ud. es deportista y está sometido a control de doping, no consuma este producto sin consultar a su médico.</w:t>
      </w:r>
    </w:p>
    <w:p w:rsidR="00EB6963" w:rsidRDefault="00EB6963" w:rsidP="00EB6963">
      <w:pPr>
        <w:pStyle w:val="NormalWeb"/>
      </w:pPr>
      <w:r>
        <w:t>Director Técnico: Q.F. Alba Edwards</w:t>
      </w:r>
    </w:p>
    <w:p w:rsidR="00EB6963" w:rsidRDefault="00EB6963" w:rsidP="00EB6963">
      <w:pPr>
        <w:pStyle w:val="NormalWeb"/>
      </w:pPr>
      <w:r>
        <w:t>Reg. Prof. Nº 1.385</w:t>
      </w:r>
    </w:p>
    <w:p w:rsidR="00EB6963" w:rsidRDefault="00EB6963" w:rsidP="00EB6963">
      <w:pPr>
        <w:pStyle w:val="NormalWeb"/>
      </w:pPr>
      <w:r>
        <w:t>Autorizado por D.N.V.S. del M.S.P. y B.S.</w:t>
      </w:r>
    </w:p>
    <w:p w:rsidR="00EB6963" w:rsidRDefault="00EB6963" w:rsidP="00EB6963">
      <w:pPr>
        <w:pStyle w:val="NormalWeb"/>
      </w:pPr>
      <w:r>
        <w:t>Venta Bajo Receta Industria Paraguaya</w:t>
      </w:r>
    </w:p>
    <w:p w:rsidR="00EB6963" w:rsidRDefault="00EB6963" w:rsidP="00EB6963">
      <w:pPr>
        <w:pStyle w:val="NormalWeb"/>
      </w:pPr>
      <w:r>
        <w:t>MANTENER FUERA DEL ALCANCE DE LOS NIÑOS</w:t>
      </w:r>
    </w:p>
    <w:p w:rsidR="00EB6963" w:rsidRDefault="00EB6963" w:rsidP="00EB6963">
      <w:pPr>
        <w:pStyle w:val="NormalWeb"/>
      </w:pPr>
      <w:r>
        <w:t>MANTENER EN LUGAR FRESCO Y SECO</w:t>
      </w:r>
    </w:p>
    <w:p w:rsidR="002F236D" w:rsidRPr="00EB6963" w:rsidRDefault="002F236D" w:rsidP="00EB6963">
      <w:bookmarkStart w:id="0" w:name="_GoBack"/>
      <w:bookmarkEnd w:id="0"/>
    </w:p>
    <w:sectPr w:rsidR="002F236D" w:rsidRPr="00EB6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1C60"/>
    <w:rsid w:val="00067670"/>
    <w:rsid w:val="00072F46"/>
    <w:rsid w:val="0009439F"/>
    <w:rsid w:val="000B0F5C"/>
    <w:rsid w:val="000C4E61"/>
    <w:rsid w:val="00156470"/>
    <w:rsid w:val="0017169E"/>
    <w:rsid w:val="001F0CA4"/>
    <w:rsid w:val="00225276"/>
    <w:rsid w:val="00253CB2"/>
    <w:rsid w:val="00281481"/>
    <w:rsid w:val="00284A81"/>
    <w:rsid w:val="002B756A"/>
    <w:rsid w:val="002D7703"/>
    <w:rsid w:val="002F236D"/>
    <w:rsid w:val="002F5808"/>
    <w:rsid w:val="00396086"/>
    <w:rsid w:val="003C6430"/>
    <w:rsid w:val="003D406F"/>
    <w:rsid w:val="003F6B1E"/>
    <w:rsid w:val="00424175"/>
    <w:rsid w:val="004362A7"/>
    <w:rsid w:val="0048396F"/>
    <w:rsid w:val="004B3F2C"/>
    <w:rsid w:val="00502A25"/>
    <w:rsid w:val="00523E3C"/>
    <w:rsid w:val="0054013F"/>
    <w:rsid w:val="00552EFB"/>
    <w:rsid w:val="005D1962"/>
    <w:rsid w:val="006673B5"/>
    <w:rsid w:val="00681ABF"/>
    <w:rsid w:val="00682039"/>
    <w:rsid w:val="00844C9A"/>
    <w:rsid w:val="00855BA3"/>
    <w:rsid w:val="00876A05"/>
    <w:rsid w:val="008E3583"/>
    <w:rsid w:val="009218EF"/>
    <w:rsid w:val="009B1A8F"/>
    <w:rsid w:val="00A147ED"/>
    <w:rsid w:val="00A22581"/>
    <w:rsid w:val="00A25A47"/>
    <w:rsid w:val="00A366DE"/>
    <w:rsid w:val="00A968EC"/>
    <w:rsid w:val="00AF5E2E"/>
    <w:rsid w:val="00B01D7C"/>
    <w:rsid w:val="00B126F6"/>
    <w:rsid w:val="00B31B9E"/>
    <w:rsid w:val="00B5045E"/>
    <w:rsid w:val="00B57D9F"/>
    <w:rsid w:val="00BD1B75"/>
    <w:rsid w:val="00BD639B"/>
    <w:rsid w:val="00BD691D"/>
    <w:rsid w:val="00BE4F43"/>
    <w:rsid w:val="00C13605"/>
    <w:rsid w:val="00C435CE"/>
    <w:rsid w:val="00CB37E1"/>
    <w:rsid w:val="00CE610A"/>
    <w:rsid w:val="00D344A1"/>
    <w:rsid w:val="00D42B6B"/>
    <w:rsid w:val="00D45815"/>
    <w:rsid w:val="00D82977"/>
    <w:rsid w:val="00D82F3F"/>
    <w:rsid w:val="00DB0824"/>
    <w:rsid w:val="00E12158"/>
    <w:rsid w:val="00E24A06"/>
    <w:rsid w:val="00E54538"/>
    <w:rsid w:val="00E856D5"/>
    <w:rsid w:val="00EB6963"/>
    <w:rsid w:val="00EC080D"/>
    <w:rsid w:val="00EC5EF1"/>
    <w:rsid w:val="00F40068"/>
    <w:rsid w:val="00F72641"/>
    <w:rsid w:val="00F81C88"/>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34353882">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7543">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282737789">
      <w:bodyDiv w:val="1"/>
      <w:marLeft w:val="0"/>
      <w:marRight w:val="0"/>
      <w:marTop w:val="0"/>
      <w:marBottom w:val="0"/>
      <w:divBdr>
        <w:top w:val="none" w:sz="0" w:space="0" w:color="auto"/>
        <w:left w:val="none" w:sz="0" w:space="0" w:color="auto"/>
        <w:bottom w:val="none" w:sz="0" w:space="0" w:color="auto"/>
        <w:right w:val="none" w:sz="0" w:space="0" w:color="auto"/>
      </w:divBdr>
    </w:div>
    <w:div w:id="284894240">
      <w:bodyDiv w:val="1"/>
      <w:marLeft w:val="0"/>
      <w:marRight w:val="0"/>
      <w:marTop w:val="0"/>
      <w:marBottom w:val="0"/>
      <w:divBdr>
        <w:top w:val="none" w:sz="0" w:space="0" w:color="auto"/>
        <w:left w:val="none" w:sz="0" w:space="0" w:color="auto"/>
        <w:bottom w:val="none" w:sz="0" w:space="0" w:color="auto"/>
        <w:right w:val="none" w:sz="0" w:space="0" w:color="auto"/>
      </w:divBdr>
    </w:div>
    <w:div w:id="304509532">
      <w:bodyDiv w:val="1"/>
      <w:marLeft w:val="0"/>
      <w:marRight w:val="0"/>
      <w:marTop w:val="0"/>
      <w:marBottom w:val="0"/>
      <w:divBdr>
        <w:top w:val="none" w:sz="0" w:space="0" w:color="auto"/>
        <w:left w:val="none" w:sz="0" w:space="0" w:color="auto"/>
        <w:bottom w:val="none" w:sz="0" w:space="0" w:color="auto"/>
        <w:right w:val="none" w:sz="0" w:space="0" w:color="auto"/>
      </w:divBdr>
    </w:div>
    <w:div w:id="323052527">
      <w:bodyDiv w:val="1"/>
      <w:marLeft w:val="0"/>
      <w:marRight w:val="0"/>
      <w:marTop w:val="0"/>
      <w:marBottom w:val="0"/>
      <w:divBdr>
        <w:top w:val="none" w:sz="0" w:space="0" w:color="auto"/>
        <w:left w:val="none" w:sz="0" w:space="0" w:color="auto"/>
        <w:bottom w:val="none" w:sz="0" w:space="0" w:color="auto"/>
        <w:right w:val="none" w:sz="0" w:space="0" w:color="auto"/>
      </w:divBdr>
    </w:div>
    <w:div w:id="334844198">
      <w:bodyDiv w:val="1"/>
      <w:marLeft w:val="0"/>
      <w:marRight w:val="0"/>
      <w:marTop w:val="0"/>
      <w:marBottom w:val="0"/>
      <w:divBdr>
        <w:top w:val="none" w:sz="0" w:space="0" w:color="auto"/>
        <w:left w:val="none" w:sz="0" w:space="0" w:color="auto"/>
        <w:bottom w:val="none" w:sz="0" w:space="0" w:color="auto"/>
        <w:right w:val="none" w:sz="0" w:space="0" w:color="auto"/>
      </w:divBdr>
    </w:div>
    <w:div w:id="414673011">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527183561">
      <w:bodyDiv w:val="1"/>
      <w:marLeft w:val="0"/>
      <w:marRight w:val="0"/>
      <w:marTop w:val="0"/>
      <w:marBottom w:val="0"/>
      <w:divBdr>
        <w:top w:val="none" w:sz="0" w:space="0" w:color="auto"/>
        <w:left w:val="none" w:sz="0" w:space="0" w:color="auto"/>
        <w:bottom w:val="none" w:sz="0" w:space="0" w:color="auto"/>
        <w:right w:val="none" w:sz="0" w:space="0" w:color="auto"/>
      </w:divBdr>
    </w:div>
    <w:div w:id="590773343">
      <w:bodyDiv w:val="1"/>
      <w:marLeft w:val="0"/>
      <w:marRight w:val="0"/>
      <w:marTop w:val="0"/>
      <w:marBottom w:val="0"/>
      <w:divBdr>
        <w:top w:val="none" w:sz="0" w:space="0" w:color="auto"/>
        <w:left w:val="none" w:sz="0" w:space="0" w:color="auto"/>
        <w:bottom w:val="none" w:sz="0" w:space="0" w:color="auto"/>
        <w:right w:val="none" w:sz="0" w:space="0" w:color="auto"/>
      </w:divBdr>
    </w:div>
    <w:div w:id="611941481">
      <w:bodyDiv w:val="1"/>
      <w:marLeft w:val="0"/>
      <w:marRight w:val="0"/>
      <w:marTop w:val="0"/>
      <w:marBottom w:val="0"/>
      <w:divBdr>
        <w:top w:val="none" w:sz="0" w:space="0" w:color="auto"/>
        <w:left w:val="none" w:sz="0" w:space="0" w:color="auto"/>
        <w:bottom w:val="none" w:sz="0" w:space="0" w:color="auto"/>
        <w:right w:val="none" w:sz="0" w:space="0" w:color="auto"/>
      </w:divBdr>
    </w:div>
    <w:div w:id="629747329">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3017304">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789739435">
      <w:bodyDiv w:val="1"/>
      <w:marLeft w:val="0"/>
      <w:marRight w:val="0"/>
      <w:marTop w:val="0"/>
      <w:marBottom w:val="0"/>
      <w:divBdr>
        <w:top w:val="none" w:sz="0" w:space="0" w:color="auto"/>
        <w:left w:val="none" w:sz="0" w:space="0" w:color="auto"/>
        <w:bottom w:val="none" w:sz="0" w:space="0" w:color="auto"/>
        <w:right w:val="none" w:sz="0" w:space="0" w:color="auto"/>
      </w:divBdr>
    </w:div>
    <w:div w:id="804390033">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87650946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170633731">
      <w:bodyDiv w:val="1"/>
      <w:marLeft w:val="0"/>
      <w:marRight w:val="0"/>
      <w:marTop w:val="0"/>
      <w:marBottom w:val="0"/>
      <w:divBdr>
        <w:top w:val="none" w:sz="0" w:space="0" w:color="auto"/>
        <w:left w:val="none" w:sz="0" w:space="0" w:color="auto"/>
        <w:bottom w:val="none" w:sz="0" w:space="0" w:color="auto"/>
        <w:right w:val="none" w:sz="0" w:space="0" w:color="auto"/>
      </w:divBdr>
    </w:div>
    <w:div w:id="1170679810">
      <w:bodyDiv w:val="1"/>
      <w:marLeft w:val="0"/>
      <w:marRight w:val="0"/>
      <w:marTop w:val="0"/>
      <w:marBottom w:val="0"/>
      <w:divBdr>
        <w:top w:val="none" w:sz="0" w:space="0" w:color="auto"/>
        <w:left w:val="none" w:sz="0" w:space="0" w:color="auto"/>
        <w:bottom w:val="none" w:sz="0" w:space="0" w:color="auto"/>
        <w:right w:val="none" w:sz="0" w:space="0" w:color="auto"/>
      </w:divBdr>
    </w:div>
    <w:div w:id="1177961205">
      <w:bodyDiv w:val="1"/>
      <w:marLeft w:val="0"/>
      <w:marRight w:val="0"/>
      <w:marTop w:val="0"/>
      <w:marBottom w:val="0"/>
      <w:divBdr>
        <w:top w:val="none" w:sz="0" w:space="0" w:color="auto"/>
        <w:left w:val="none" w:sz="0" w:space="0" w:color="auto"/>
        <w:bottom w:val="none" w:sz="0" w:space="0" w:color="auto"/>
        <w:right w:val="none" w:sz="0" w:space="0" w:color="auto"/>
      </w:divBdr>
    </w:div>
    <w:div w:id="1200318464">
      <w:bodyDiv w:val="1"/>
      <w:marLeft w:val="0"/>
      <w:marRight w:val="0"/>
      <w:marTop w:val="0"/>
      <w:marBottom w:val="0"/>
      <w:divBdr>
        <w:top w:val="none" w:sz="0" w:space="0" w:color="auto"/>
        <w:left w:val="none" w:sz="0" w:space="0" w:color="auto"/>
        <w:bottom w:val="none" w:sz="0" w:space="0" w:color="auto"/>
        <w:right w:val="none" w:sz="0" w:space="0" w:color="auto"/>
      </w:divBdr>
    </w:div>
    <w:div w:id="1225871735">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37229171">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419139147">
      <w:bodyDiv w:val="1"/>
      <w:marLeft w:val="0"/>
      <w:marRight w:val="0"/>
      <w:marTop w:val="0"/>
      <w:marBottom w:val="0"/>
      <w:divBdr>
        <w:top w:val="none" w:sz="0" w:space="0" w:color="auto"/>
        <w:left w:val="none" w:sz="0" w:space="0" w:color="auto"/>
        <w:bottom w:val="none" w:sz="0" w:space="0" w:color="auto"/>
        <w:right w:val="none" w:sz="0" w:space="0" w:color="auto"/>
      </w:divBdr>
    </w:div>
    <w:div w:id="1420100104">
      <w:bodyDiv w:val="1"/>
      <w:marLeft w:val="0"/>
      <w:marRight w:val="0"/>
      <w:marTop w:val="0"/>
      <w:marBottom w:val="0"/>
      <w:divBdr>
        <w:top w:val="none" w:sz="0" w:space="0" w:color="auto"/>
        <w:left w:val="none" w:sz="0" w:space="0" w:color="auto"/>
        <w:bottom w:val="none" w:sz="0" w:space="0" w:color="auto"/>
        <w:right w:val="none" w:sz="0" w:space="0" w:color="auto"/>
      </w:divBdr>
    </w:div>
    <w:div w:id="1450583825">
      <w:bodyDiv w:val="1"/>
      <w:marLeft w:val="0"/>
      <w:marRight w:val="0"/>
      <w:marTop w:val="0"/>
      <w:marBottom w:val="0"/>
      <w:divBdr>
        <w:top w:val="none" w:sz="0" w:space="0" w:color="auto"/>
        <w:left w:val="none" w:sz="0" w:space="0" w:color="auto"/>
        <w:bottom w:val="none" w:sz="0" w:space="0" w:color="auto"/>
        <w:right w:val="none" w:sz="0" w:space="0" w:color="auto"/>
      </w:divBdr>
    </w:div>
    <w:div w:id="1454517620">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36235337">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00609727">
      <w:bodyDiv w:val="1"/>
      <w:marLeft w:val="0"/>
      <w:marRight w:val="0"/>
      <w:marTop w:val="0"/>
      <w:marBottom w:val="0"/>
      <w:divBdr>
        <w:top w:val="none" w:sz="0" w:space="0" w:color="auto"/>
        <w:left w:val="none" w:sz="0" w:space="0" w:color="auto"/>
        <w:bottom w:val="none" w:sz="0" w:space="0" w:color="auto"/>
        <w:right w:val="none" w:sz="0" w:space="0" w:color="auto"/>
      </w:divBdr>
    </w:div>
    <w:div w:id="1835996343">
      <w:bodyDiv w:val="1"/>
      <w:marLeft w:val="0"/>
      <w:marRight w:val="0"/>
      <w:marTop w:val="0"/>
      <w:marBottom w:val="0"/>
      <w:divBdr>
        <w:top w:val="none" w:sz="0" w:space="0" w:color="auto"/>
        <w:left w:val="none" w:sz="0" w:space="0" w:color="auto"/>
        <w:bottom w:val="none" w:sz="0" w:space="0" w:color="auto"/>
        <w:right w:val="none" w:sz="0" w:space="0" w:color="auto"/>
      </w:divBdr>
    </w:div>
    <w:div w:id="1845974078">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1934127646">
      <w:bodyDiv w:val="1"/>
      <w:marLeft w:val="0"/>
      <w:marRight w:val="0"/>
      <w:marTop w:val="0"/>
      <w:marBottom w:val="0"/>
      <w:divBdr>
        <w:top w:val="none" w:sz="0" w:space="0" w:color="auto"/>
        <w:left w:val="none" w:sz="0" w:space="0" w:color="auto"/>
        <w:bottom w:val="none" w:sz="0" w:space="0" w:color="auto"/>
        <w:right w:val="none" w:sz="0" w:space="0" w:color="auto"/>
      </w:divBdr>
    </w:div>
    <w:div w:id="1947079334">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35840429">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 w:id="2146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6435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2020-12-10T17:01:00Z</dcterms:created>
  <dcterms:modified xsi:type="dcterms:W3CDTF">2020-12-10T17:01:00Z</dcterms:modified>
</cp:coreProperties>
</file>