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E227" w14:textId="1101CC40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2"/>
          <w:szCs w:val="32"/>
          <w:lang w:val="es-ES"/>
        </w:rPr>
      </w:pPr>
      <w:proofErr w:type="spellStart"/>
      <w:r>
        <w:rPr>
          <w:rFonts w:ascii="Frutiger-BoldCn" w:hAnsi="Frutiger-BoldCn" w:cs="Frutiger-BoldCn"/>
          <w:b/>
          <w:bCs/>
          <w:sz w:val="32"/>
          <w:szCs w:val="32"/>
          <w:lang w:val="es-ES"/>
        </w:rPr>
        <w:t>AlbuRx</w:t>
      </w:r>
      <w:r>
        <w:rPr>
          <w:rFonts w:ascii="Frutiger-BoldCn" w:hAnsi="Frutiger-BoldCn" w:cs="Frutiger-BoldCn"/>
          <w:b/>
          <w:bCs/>
          <w:sz w:val="19"/>
          <w:szCs w:val="19"/>
          <w:lang w:val="es-ES"/>
        </w:rPr>
        <w:t>TM</w:t>
      </w:r>
      <w:proofErr w:type="spellEnd"/>
      <w:r>
        <w:rPr>
          <w:rFonts w:ascii="Frutiger-BoldCn" w:hAnsi="Frutiger-BoldCn" w:cs="Frutiger-BoldCn"/>
          <w:b/>
          <w:bCs/>
          <w:sz w:val="19"/>
          <w:szCs w:val="19"/>
          <w:lang w:val="es-ES"/>
        </w:rPr>
        <w:t xml:space="preserve"> </w:t>
      </w:r>
      <w:r w:rsidR="00D37DAB">
        <w:rPr>
          <w:rFonts w:ascii="Frutiger-BoldCn" w:hAnsi="Frutiger-BoldCn" w:cs="Frutiger-BoldCn"/>
          <w:b/>
          <w:bCs/>
          <w:sz w:val="32"/>
          <w:szCs w:val="32"/>
          <w:lang w:val="es-ES"/>
        </w:rPr>
        <w:t>20</w:t>
      </w:r>
      <w:bookmarkStart w:id="0" w:name="_GoBack"/>
      <w:bookmarkEnd w:id="0"/>
    </w:p>
    <w:p w14:paraId="729EA38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Composición</w:t>
      </w:r>
    </w:p>
    <w:p w14:paraId="4AF5003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a. Principio activo</w:t>
      </w:r>
    </w:p>
    <w:p w14:paraId="3416D7A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Albúmina humana</w:t>
      </w:r>
    </w:p>
    <w:p w14:paraId="6B5B59E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b. Excipientes</w:t>
      </w:r>
    </w:p>
    <w:p w14:paraId="2A9432D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N-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acetiltriptofanato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de sodio 20 mmol/l</w:t>
      </w:r>
    </w:p>
    <w:p w14:paraId="126FC9D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Caprilato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de sodio 20 mmol/l</w:t>
      </w:r>
    </w:p>
    <w:p w14:paraId="659FCFA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Cloruro de sodio equivalente a 140 mmol/l de sodio</w:t>
      </w:r>
    </w:p>
    <w:p w14:paraId="3EEDB4CC" w14:textId="7CFCF07D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Agua inyectable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cbp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1 l</w:t>
      </w:r>
    </w:p>
    <w:p w14:paraId="0EA2DA3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</w:p>
    <w:p w14:paraId="403DD75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cumple con el límite superior de la Farmacopea Europea para el</w:t>
      </w:r>
    </w:p>
    <w:p w14:paraId="1F7C0226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contenido de aluminio en soluciones de albúmina humana para infusión (máximo</w:t>
      </w:r>
    </w:p>
    <w:p w14:paraId="736B2CD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200 microgramos/l).</w:t>
      </w:r>
    </w:p>
    <w:p w14:paraId="71A4276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Forma farmacéutica y contenido de principio activo por unidad</w:t>
      </w:r>
    </w:p>
    <w:p w14:paraId="418922B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Solución para infusión de uso intravenoso.</w:t>
      </w:r>
    </w:p>
    <w:p w14:paraId="4504ACA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solución contiene 250 g/l de proteína plasmática humana, de la cual por lo</w:t>
      </w:r>
    </w:p>
    <w:p w14:paraId="5F60600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menos el 95% es albúmina humana.</w:t>
      </w:r>
    </w:p>
    <w:p w14:paraId="0F50D2D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es una solución para infusión prácticamente incolora, amarilla, de color</w:t>
      </w:r>
    </w:p>
    <w:p w14:paraId="2AB499C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ámbar o verde. Es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hiperoncótica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con el plasma normal.</w:t>
      </w:r>
    </w:p>
    <w:p w14:paraId="6D7D53A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contiene aproximadamente 3.2 mg de sodio por ml de solución</w:t>
      </w:r>
    </w:p>
    <w:p w14:paraId="7BFFAD2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(140 mmol/l).</w:t>
      </w:r>
    </w:p>
    <w:p w14:paraId="1AA35A1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Indicaciones terapéuticas</w:t>
      </w:r>
    </w:p>
    <w:p w14:paraId="07C4B80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Restauración y mantenimiento del volumen de sangre circulante cuando se ha</w:t>
      </w:r>
    </w:p>
    <w:p w14:paraId="20D4551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gramStart"/>
      <w:r>
        <w:rPr>
          <w:rFonts w:ascii="Frutiger-LightCn" w:hAnsi="Frutiger-LightCn" w:cs="Frutiger-LightCn"/>
          <w:sz w:val="18"/>
          <w:szCs w:val="18"/>
          <w:lang w:val="es-ES"/>
        </w:rPr>
        <w:t>demostrado</w:t>
      </w:r>
      <w:proofErr w:type="gram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deficiencia de volumen y es conveniente el uso de un coloide.</w:t>
      </w:r>
    </w:p>
    <w:p w14:paraId="0CD1DCF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selección de la albúmina humana en lugar del coloide artificial depende de la</w:t>
      </w:r>
    </w:p>
    <w:p w14:paraId="6A17396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situación clínica del paciente individual, con base en las recomendaciones</w:t>
      </w:r>
    </w:p>
    <w:p w14:paraId="180356A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oficiales.</w:t>
      </w:r>
    </w:p>
    <w:p w14:paraId="531F294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Posología / Forma de administración</w:t>
      </w:r>
    </w:p>
    <w:p w14:paraId="6D7EFA2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concentración de la solución de albúmina humana a usarse, la dosis y la</w:t>
      </w:r>
    </w:p>
    <w:p w14:paraId="3B50A6C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velocidad de infusión deben ajustarse según los requerimientos individuales del</w:t>
      </w:r>
    </w:p>
    <w:p w14:paraId="201BFC7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paciente.</w:t>
      </w:r>
    </w:p>
    <w:p w14:paraId="6CB1FE1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Posología</w:t>
      </w:r>
    </w:p>
    <w:p w14:paraId="036E429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dosis requerida depende de la talla del paciente, la gravedad del trauma o de</w:t>
      </w:r>
    </w:p>
    <w:p w14:paraId="37FCE97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enfermedad o de la pérdida continua de fluido o proteína. Para determinar la</w:t>
      </w:r>
    </w:p>
    <w:p w14:paraId="7C95D29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dosis requerida deberá medirse el volumen circulante de sangre y no solo el nivel</w:t>
      </w:r>
    </w:p>
    <w:p w14:paraId="1ABE0DC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de albúmina plasmática.</w:t>
      </w:r>
    </w:p>
    <w:p w14:paraId="08237A6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Si se administra albúmina humana, debe monitorearse regularmente el</w:t>
      </w:r>
    </w:p>
    <w:p w14:paraId="541BF64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funcionamiento hemodinámico; esto puede incluir:</w:t>
      </w:r>
    </w:p>
    <w:p w14:paraId="4FC4878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Presión arterial y ritmo cardiaco</w:t>
      </w:r>
    </w:p>
    <w:p w14:paraId="418FBED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Presión venosa central</w:t>
      </w:r>
    </w:p>
    <w:p w14:paraId="42997A4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Presión de la arteria pulmonar</w:t>
      </w:r>
    </w:p>
    <w:p w14:paraId="14F3C6E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Producción de orina</w:t>
      </w:r>
    </w:p>
    <w:p w14:paraId="6722B46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Electrolitos</w:t>
      </w:r>
    </w:p>
    <w:p w14:paraId="3970CD5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Hematocrito / Hemoglobina</w:t>
      </w:r>
    </w:p>
    <w:p w14:paraId="3782FD6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Población pediátrica</w:t>
      </w:r>
    </w:p>
    <w:p w14:paraId="373FBD4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posología en niños y adolescentes (0–18 años) deberá ser ajustada a los</w:t>
      </w:r>
    </w:p>
    <w:p w14:paraId="234DC98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requerimientos individuales del paciente.</w:t>
      </w:r>
    </w:p>
    <w:p w14:paraId="7A390D5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Forma de administración</w:t>
      </w:r>
    </w:p>
    <w:p w14:paraId="79C2BA5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solamente debe administrarse por vía intravenosa.</w:t>
      </w:r>
    </w:p>
    <w:p w14:paraId="3E74A5A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solución está lista para usarse y puede administrarse directamente, o también</w:t>
      </w:r>
    </w:p>
    <w:p w14:paraId="1C03DB1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diluirse previamente en una solución isotónica (por ejemplo, glucosa al 5% o</w:t>
      </w:r>
    </w:p>
    <w:p w14:paraId="5AF9295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cloruro de sodio al 0.9%). La velocidad de infusión debe ajustarse de acuerdo con</w:t>
      </w:r>
    </w:p>
    <w:p w14:paraId="23B3F7F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las circunstancias individuales y la indicación, pero normalmente no debe exceder</w:t>
      </w:r>
    </w:p>
    <w:p w14:paraId="4A3BFD1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1–2 ml/minuto.</w:t>
      </w:r>
    </w:p>
    <w:p w14:paraId="7A69570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Para recambio de plasma, la velocidad de infusión debe ajustarse a la velocidad</w:t>
      </w:r>
    </w:p>
    <w:p w14:paraId="363DD66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de remoción.</w:t>
      </w:r>
    </w:p>
    <w:p w14:paraId="7D5631D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Contraindicaciones</w:t>
      </w:r>
    </w:p>
    <w:p w14:paraId="6EC3B0F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Hipersensibilidad a las preparaciones de albúmina o cualquiera de los excipientes.</w:t>
      </w:r>
    </w:p>
    <w:p w14:paraId="6468F13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Advertencias y precauciones de empleo</w:t>
      </w:r>
    </w:p>
    <w:p w14:paraId="28FB6E3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Una sospecha de reacciones alérgicas o de tipo anafiláctico requiere la suspensión</w:t>
      </w:r>
    </w:p>
    <w:p w14:paraId="50C0825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inmediata de la infusión y debe iniciarse un tratamiento adecuado. Se deben</w:t>
      </w:r>
    </w:p>
    <w:p w14:paraId="0454D9D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seguir las guías médicas actuales en caso de choque anafiláctico.</w:t>
      </w:r>
    </w:p>
    <w:p w14:paraId="4636A4B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albúmina debe utilizarse con precaución en toda condición en la que la</w:t>
      </w:r>
    </w:p>
    <w:p w14:paraId="395ABC0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hipervolemia y sus consecuencias o la hemodilución pueden representar un riesgo</w:t>
      </w:r>
    </w:p>
    <w:p w14:paraId="68EB47E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especial para el paciente. Ejemplo de estas condiciones son:</w:t>
      </w:r>
    </w:p>
    <w:p w14:paraId="25335FF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Insuficiencia cardiaca descompensada</w:t>
      </w:r>
    </w:p>
    <w:p w14:paraId="3EF431E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lastRenderedPageBreak/>
        <w:t>• Hipertensión</w:t>
      </w:r>
    </w:p>
    <w:p w14:paraId="392C7D0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Várices esofágicas</w:t>
      </w:r>
    </w:p>
    <w:p w14:paraId="7AC67D1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Edema pulmonar</w:t>
      </w:r>
    </w:p>
    <w:p w14:paraId="2BBACB7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Diátesis hemorrágica</w:t>
      </w:r>
    </w:p>
    <w:p w14:paraId="381CF09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Anemia severa</w:t>
      </w:r>
    </w:p>
    <w:p w14:paraId="4946D8E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• Anuria renal y post-renal</w:t>
      </w:r>
    </w:p>
    <w:p w14:paraId="3DFCD08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El efecto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coloido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>-osmótico de la albúmina humana 250 g/l es aproximadamente</w:t>
      </w:r>
    </w:p>
    <w:p w14:paraId="26D9332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cuatro veces el del plasma sanguíneo. Por tanto, cuando se administra albúmina</w:t>
      </w:r>
    </w:p>
    <w:p w14:paraId="758CEE2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concentrada debe tenerse cuidado para asegurar una hidratación adecuada de los</w:t>
      </w:r>
    </w:p>
    <w:p w14:paraId="3A9A5AB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pacientes, que deben ser controlados cuidadosamente para protegerlos contra</w:t>
      </w:r>
    </w:p>
    <w:p w14:paraId="4E95F51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sobrecarga circulatoria e hiperhidratación.</w:t>
      </w:r>
    </w:p>
    <w:p w14:paraId="69E772E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Soluciones de albúmina humana de 200–250 g/l presentan un contenido en</w:t>
      </w:r>
    </w:p>
    <w:p w14:paraId="6F30E18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electrolitos relativamente bajo en comparación con las soluciones de albúmina</w:t>
      </w:r>
    </w:p>
    <w:p w14:paraId="414A27A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humana de 40–50 g/l. Cuando se administra albúmina, se debe controlar el</w:t>
      </w:r>
    </w:p>
    <w:p w14:paraId="54DF2EE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estado electrolítico del paciente, y se deben tomar las medidas correspondientes</w:t>
      </w:r>
    </w:p>
    <w:p w14:paraId="1117C8A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para restablecer o mantener el equilibrio electrolítico.</w:t>
      </w:r>
    </w:p>
    <w:p w14:paraId="5878D1D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solución de albúmina no debe diluirse con agua inyectable, dado que puede</w:t>
      </w:r>
    </w:p>
    <w:p w14:paraId="2E16B03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producir hemólisis en los pacientes.</w:t>
      </w:r>
    </w:p>
    <w:p w14:paraId="3772438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Si el volumen a reemplazar es relativamente grande, se requieren controles de</w:t>
      </w:r>
    </w:p>
    <w:p w14:paraId="3594A7C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coagulación y del hematocrito. Debe tenerse cuidado para asegurar una</w:t>
      </w:r>
    </w:p>
    <w:p w14:paraId="22F6013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sustitución adecuada de otros componentes de la sangre (factores de coagulación,</w:t>
      </w:r>
    </w:p>
    <w:p w14:paraId="52999F7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electrolitos, plaquetas y eritrocitos).</w:t>
      </w:r>
    </w:p>
    <w:p w14:paraId="6A87045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Puede ocurrir hipervolemia si la dosis y la velocidad de infusión no se ajustan a</w:t>
      </w:r>
    </w:p>
    <w:p w14:paraId="58BFAB8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situación circulatoria del paciente. A los primeros signos clínicos de sobrecarga</w:t>
      </w:r>
    </w:p>
    <w:p w14:paraId="4C24D71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cardiovascular (dolor de cabeza, disnea, congestión de la vena yugular), o en el</w:t>
      </w:r>
    </w:p>
    <w:p w14:paraId="3C5BDD1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caso de aumento de la presión arterial, incremento de la presión venosa o edema</w:t>
      </w:r>
    </w:p>
    <w:p w14:paraId="2B3E092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pulmonar, debe suspenderse inmediatamente la infusión y los parámetros</w:t>
      </w:r>
    </w:p>
    <w:p w14:paraId="05F328A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hemodinámicos del paciente deben ser cuidadosamente monitoreados.</w:t>
      </w:r>
    </w:p>
    <w:p w14:paraId="5C6AE9E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contiene aproximadamente 3.2 mg de sodio por ml de solución</w:t>
      </w:r>
    </w:p>
    <w:p w14:paraId="0C9B2F76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(140 mmol/l). Esto debe ser tomado en consideración para pacientes con dieta</w:t>
      </w:r>
    </w:p>
    <w:p w14:paraId="387889B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controlada de sodio.</w:t>
      </w:r>
    </w:p>
    <w:p w14:paraId="03485F7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Sobre la seguridad respecto a agentes transmisibles</w:t>
      </w:r>
    </w:p>
    <w:p w14:paraId="0A83293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Las medidas estándar destinadas a la prevención de infecciones resultantes del</w:t>
      </w:r>
    </w:p>
    <w:p w14:paraId="64D17D7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uso de medicamentos preparados a base de sangre o plasma humano incluyen</w:t>
      </w:r>
    </w:p>
    <w:p w14:paraId="53C76EE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la selección de los donadores, el examen de las donaciones individuales y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pooles</w:t>
      </w:r>
      <w:proofErr w:type="spellEnd"/>
    </w:p>
    <w:p w14:paraId="24F66A5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gramStart"/>
      <w:r>
        <w:rPr>
          <w:rFonts w:ascii="Frutiger-LightCn" w:hAnsi="Frutiger-LightCn" w:cs="Frutiger-LightCn"/>
          <w:sz w:val="18"/>
          <w:szCs w:val="18"/>
          <w:lang w:val="es-ES"/>
        </w:rPr>
        <w:t>de</w:t>
      </w:r>
      <w:proofErr w:type="gram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plasma para detectar marcadores de infección así como la inclusión de</w:t>
      </w:r>
    </w:p>
    <w:p w14:paraId="1C59431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procedimientos de inactivación/remoción viral eficaces en el proceso de</w:t>
      </w:r>
    </w:p>
    <w:p w14:paraId="276FED3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fabricación (ver el apartado «Propiedades/Efectos»). A pesar de ello no se puede</w:t>
      </w:r>
    </w:p>
    <w:p w14:paraId="0BEC871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excluir totalmente la posibilidad de transmitir agentes infecciosos al administrar</w:t>
      </w:r>
    </w:p>
    <w:p w14:paraId="0C06451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medicamentos elaborados a base de sangre o plasma humano. Esto también se</w:t>
      </w:r>
    </w:p>
    <w:p w14:paraId="679603E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aplica a virus desconocidos o emergentes y otros patógenos.</w:t>
      </w:r>
    </w:p>
    <w:p w14:paraId="0120D91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albúmina fabricada mediante procedimientos establecidos según las</w:t>
      </w:r>
    </w:p>
    <w:p w14:paraId="6434F9D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especificaciones de la Farmacopea Europea se considera tiene una seguridad viral</w:t>
      </w:r>
    </w:p>
    <w:p w14:paraId="5F6230B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confiable.</w:t>
      </w:r>
    </w:p>
    <w:p w14:paraId="54F469F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Se recomienda que cada vez que se administre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a un paciente se registre</w:t>
      </w:r>
    </w:p>
    <w:p w14:paraId="3F934356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el nombre y el número de lote del producto a fin de tener un enlace entre el</w:t>
      </w:r>
    </w:p>
    <w:p w14:paraId="0F8B231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paciente y el lote del producto.</w:t>
      </w:r>
    </w:p>
    <w:p w14:paraId="67CD216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Interacciones</w:t>
      </w:r>
    </w:p>
    <w:p w14:paraId="43888C7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No se conoce ninguna interacción específica entre la albúmina humana y otros</w:t>
      </w:r>
    </w:p>
    <w:p w14:paraId="6882B09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medicamentos. Sin embargo debe tenerse en mente que los efectos de</w:t>
      </w:r>
    </w:p>
    <w:p w14:paraId="78BC68A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medicamentos que se enlazan fuertemente a la albúmina pueden ser</w:t>
      </w:r>
    </w:p>
    <w:p w14:paraId="6F073DB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influenciados por cambios en el nivel de albúmina.</w:t>
      </w:r>
    </w:p>
    <w:p w14:paraId="03D82D5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Embarazo y lactancia</w:t>
      </w:r>
    </w:p>
    <w:p w14:paraId="1750269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No se disponen de datos clínicos controlados sobre el uso de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en</w:t>
      </w:r>
    </w:p>
    <w:p w14:paraId="78E458D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mujeres durante el embarazo. Sin embargo, la experiencia clínica con albúmina no</w:t>
      </w:r>
    </w:p>
    <w:p w14:paraId="6B31644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ha proporcionado ninguna evidencia de efectos nocivos en el curso del embarazo</w:t>
      </w:r>
    </w:p>
    <w:p w14:paraId="60E1FEB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o sobre el feto o el neonato. No se han realizado estudios de reproducción en</w:t>
      </w:r>
    </w:p>
    <w:p w14:paraId="58F4BDF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animales con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25. Sin embargo, la albúmina humana es un componente</w:t>
      </w:r>
    </w:p>
    <w:p w14:paraId="40289BA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normal de la sangre humana.</w:t>
      </w:r>
    </w:p>
    <w:p w14:paraId="70E71C5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Efectos sobre la capacidad para conducir y utilizar máquinas</w:t>
      </w:r>
    </w:p>
    <w:p w14:paraId="6D383AC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No hay evidencia de efectos adversos que afecten la capacidad para conducir y</w:t>
      </w:r>
    </w:p>
    <w:p w14:paraId="2133F59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operar máquinas.</w:t>
      </w:r>
    </w:p>
    <w:p w14:paraId="6161106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Reacciones adversas</w:t>
      </w:r>
    </w:p>
    <w:p w14:paraId="63BEE68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 poca frecuencia ocurren reacciones leves como enrojecimiento, urticaria,</w:t>
      </w:r>
    </w:p>
    <w:p w14:paraId="2D9EC23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fiebre y náuseas. Estas reacciones normalmente desaparecen rápidamente cuando</w:t>
      </w:r>
    </w:p>
    <w:p w14:paraId="3E8D13B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se hace más lenta la velocidad de infusión o se suspende. En muy raros casos</w:t>
      </w:r>
    </w:p>
    <w:p w14:paraId="453A309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pueden presentarse reacciones alérgicas graves como un shock anafiláctico. En</w:t>
      </w:r>
    </w:p>
    <w:p w14:paraId="6467EEC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lastRenderedPageBreak/>
        <w:t>estos casos, debe suspenderse la infusión e iniciar un tratamiento adecuado.</w:t>
      </w:r>
    </w:p>
    <w:p w14:paraId="023FDF7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Para información de seguridad sobre agentes transmisibles, ver el apartado</w:t>
      </w:r>
    </w:p>
    <w:p w14:paraId="676BF71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«Advertencias y precauciones de empleo».</w:t>
      </w:r>
    </w:p>
    <w:p w14:paraId="33F450E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Sobredosis</w:t>
      </w:r>
    </w:p>
    <w:p w14:paraId="3ECFB8C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Puede ocurrir hipervolemia si la dosis y la velocidad de infusión son demasiado</w:t>
      </w:r>
    </w:p>
    <w:p w14:paraId="41F1945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altas. A los primeros signos clínicos de sobrecarga cardiovascular (dolor de cabeza,</w:t>
      </w:r>
    </w:p>
    <w:p w14:paraId="6BD4E82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disnea, congestión de la vena yugular) o en el caso de aumento de la presión</w:t>
      </w:r>
    </w:p>
    <w:p w14:paraId="61DC225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arterial, aumento de la presión venosa central o edema pulmonar, debe</w:t>
      </w:r>
    </w:p>
    <w:p w14:paraId="551E911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suspenderse inmediatamente la infusión y controlar cuidadosamente los</w:t>
      </w:r>
    </w:p>
    <w:p w14:paraId="10AFFFC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parámetros hemodinámicos del paciente.</w:t>
      </w:r>
    </w:p>
    <w:p w14:paraId="4AF3935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Propiedades / Efectos</w:t>
      </w:r>
    </w:p>
    <w:p w14:paraId="7D69211C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Código ATC: B05AA01</w:t>
      </w:r>
    </w:p>
    <w:p w14:paraId="4528369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Grupo farmacoterapéutico: Sustitutos del plasma y de las fracciones de proteínas</w:t>
      </w:r>
    </w:p>
    <w:p w14:paraId="32C23B3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plasmáticas.</w:t>
      </w:r>
    </w:p>
    <w:p w14:paraId="6066349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albúmina comprende cuantitativamente más de 50% de la proteína total en</w:t>
      </w:r>
    </w:p>
    <w:p w14:paraId="4BFDA5D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el plasma y representa alrededor del 10% de la síntesis de proteínas del hígado.</w:t>
      </w:r>
    </w:p>
    <w:p w14:paraId="5CCFAFB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Mecanismo de acción / Propiedades farmacodinámicas</w:t>
      </w:r>
    </w:p>
    <w:p w14:paraId="26943F4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Las funciones fisiológicas más importantes de la albúmina son el resultado de su</w:t>
      </w:r>
    </w:p>
    <w:p w14:paraId="204BFA5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contribución a la presión oncótica de la sangre y la función de transporte. La</w:t>
      </w:r>
    </w:p>
    <w:p w14:paraId="1DD0490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albúmina estabiliza el volumen de sangre circulante y es portadora de hormonas,</w:t>
      </w:r>
    </w:p>
    <w:p w14:paraId="5A8F695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enzimas, medicamentos y toxinas.</w:t>
      </w:r>
    </w:p>
    <w:p w14:paraId="4AC809F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Propiedades farmacocinéticas</w:t>
      </w:r>
    </w:p>
    <w:p w14:paraId="77340646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Distribución</w:t>
      </w:r>
    </w:p>
    <w:p w14:paraId="21E1A3B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Bajo condiciones normales, la acumulación de albúmina intercambiable es de</w:t>
      </w:r>
    </w:p>
    <w:p w14:paraId="6851854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4–5 g/kg de peso corporal, de la cual el 40–45% está presente</w:t>
      </w:r>
    </w:p>
    <w:p w14:paraId="1A73F08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intravascularmente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y el 55–60% en el espacio extra-vascular. El aumento de la</w:t>
      </w:r>
    </w:p>
    <w:p w14:paraId="6CDF5A2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permeabilidad capilar puede alterar la cinética de la albúmina. En condiciones</w:t>
      </w:r>
    </w:p>
    <w:p w14:paraId="4F92BF0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tales como quemaduras graves o choque séptico puede ocurrir una distribución</w:t>
      </w:r>
    </w:p>
    <w:p w14:paraId="4BB7F56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anormal.</w:t>
      </w:r>
    </w:p>
    <w:p w14:paraId="6B4EDD5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Eliminación</w:t>
      </w:r>
    </w:p>
    <w:p w14:paraId="4B8E39C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Bajo condiciones normales, la vida media de la albúmina es aproximada mente</w:t>
      </w:r>
    </w:p>
    <w:p w14:paraId="2A4B8C2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de 19 días. El balance entre la síntesis y la degradación se logra</w:t>
      </w:r>
    </w:p>
    <w:p w14:paraId="2F4C1CC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normalmente mediante un mecanismo de retroalimentación. La eliminación es</w:t>
      </w:r>
    </w:p>
    <w:p w14:paraId="15F957D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predominantemente intracelular y debida a las proteasas lisosómicas.</w:t>
      </w:r>
    </w:p>
    <w:p w14:paraId="19AA85A8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En sujetos sanos, menos del 10% de la albúmina administrada abandona el</w:t>
      </w:r>
    </w:p>
    <w:p w14:paraId="3DD62F4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compartimiento intravascular durante las primeras 2 horas después de la infusión.</w:t>
      </w:r>
    </w:p>
    <w:p w14:paraId="5CDFDDC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Existe una variación individual considerable del efecto sobre el volumen</w:t>
      </w:r>
    </w:p>
    <w:p w14:paraId="134BFD3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plasmático. En algunos pacientes, el volumen plasmático permanece aumentado</w:t>
      </w:r>
    </w:p>
    <w:p w14:paraId="653E5D0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por algunas horas. Sin embargo, en pacientes críticamente enfermos, la albúmina</w:t>
      </w:r>
    </w:p>
    <w:p w14:paraId="2484CAC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puede filtrarse del sistema vascular en cantidades sustanciales a una velocidad</w:t>
      </w:r>
    </w:p>
    <w:p w14:paraId="15636B2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impredecible.</w:t>
      </w:r>
    </w:p>
    <w:p w14:paraId="2212F94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Datos preclínicos</w:t>
      </w:r>
    </w:p>
    <w:p w14:paraId="4CF3176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albúmina humana es un componente normal del plasma humano y su acción</w:t>
      </w:r>
    </w:p>
    <w:p w14:paraId="24D4A94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no difiere a la albúmina fisiológica.</w:t>
      </w:r>
    </w:p>
    <w:p w14:paraId="0D6DBAE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En animales, la prueba de toxicidad a una sola dosis es de poca relevancia y no</w:t>
      </w:r>
    </w:p>
    <w:p w14:paraId="45A790F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permite la evaluación de las dosis tóxicas, letales o la relación dosis-efecto. La</w:t>
      </w:r>
    </w:p>
    <w:p w14:paraId="4871799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prueba de toxicidad a dosis repetida en animales es impracticable debido al</w:t>
      </w:r>
    </w:p>
    <w:p w14:paraId="4453A87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desarrollo de anticuerpos contra proteínas heterólogas.</w:t>
      </w:r>
    </w:p>
    <w:p w14:paraId="5871F58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Hasta ahora, no se ha reportado la asociación de la albúmina con toxicidad</w:t>
      </w:r>
    </w:p>
    <w:p w14:paraId="26E52D4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embrio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>-fetal o potencial oncogénico o mutagénico. No se han descrito signos de</w:t>
      </w:r>
    </w:p>
    <w:p w14:paraId="4106286D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toxicidad aguda en modelos animales.</w:t>
      </w:r>
    </w:p>
    <w:p w14:paraId="2449A33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Otras advertencias</w:t>
      </w:r>
    </w:p>
    <w:p w14:paraId="3806F84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Incompatibilidades</w:t>
      </w:r>
    </w:p>
    <w:p w14:paraId="7E6F955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no debe mezclarse con otros medicamentos inclusive sangre total y</w:t>
      </w:r>
    </w:p>
    <w:p w14:paraId="19C0BA0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glóbulos rojos.</w:t>
      </w:r>
    </w:p>
    <w:p w14:paraId="11ADFBA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Periodo de vigencia y precauciones especiales de conservación</w:t>
      </w:r>
    </w:p>
    <w:p w14:paraId="5A9C36B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No usar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después de la fecha de caducidad que aparece en el cartón</w:t>
      </w:r>
    </w:p>
    <w:p w14:paraId="35EB1C4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exterior y en la etiqueta del frasco después de «EXP». No almacenar </w:t>
      </w: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</w:t>
      </w:r>
    </w:p>
    <w:p w14:paraId="17A808C4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 temperaturas superiores a 30 °C. No congelar. Mantener el frasco en el empaque</w:t>
      </w:r>
    </w:p>
    <w:p w14:paraId="2464F33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 xml:space="preserve">exterior para protegerlo de la luz. </w:t>
      </w: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Manténgase fuera del alcance de los</w:t>
      </w:r>
    </w:p>
    <w:p w14:paraId="4FD243D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niños.</w:t>
      </w:r>
    </w:p>
    <w:p w14:paraId="428C9285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s-ES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s-ES"/>
        </w:rPr>
        <w:t>Instrucciones para su uso y manejo</w:t>
      </w:r>
    </w:p>
    <w:p w14:paraId="25DDC27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proofErr w:type="spellStart"/>
      <w:r>
        <w:rPr>
          <w:rFonts w:ascii="Frutiger-LightCn" w:hAnsi="Frutiger-LightCn" w:cs="Frutiger-LightCn"/>
          <w:sz w:val="18"/>
          <w:szCs w:val="18"/>
          <w:lang w:val="es-ES"/>
        </w:rPr>
        <w:t>AlbuRx</w:t>
      </w:r>
      <w:proofErr w:type="spellEnd"/>
      <w:r>
        <w:rPr>
          <w:rFonts w:ascii="Frutiger-LightCn" w:hAnsi="Frutiger-LightCn" w:cs="Frutiger-LightCn"/>
          <w:sz w:val="18"/>
          <w:szCs w:val="18"/>
          <w:lang w:val="es-ES"/>
        </w:rPr>
        <w:t xml:space="preserve"> 25 se administra exclusivamente por vía intravenosa.</w:t>
      </w:r>
    </w:p>
    <w:p w14:paraId="477B553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Puede administrar la solución directamente o diluida previamente en una solución</w:t>
      </w:r>
    </w:p>
    <w:p w14:paraId="6181A32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isotónica (por ejemplo, glucosa al 5% o cloruro de sodio al 0.9%). La solución</w:t>
      </w:r>
    </w:p>
    <w:p w14:paraId="455C1C0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de albúmina no debe diluirse con agua inyectable dado que puede producir</w:t>
      </w:r>
    </w:p>
    <w:p w14:paraId="79AB253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hemólisis en los pacientes.</w:t>
      </w:r>
    </w:p>
    <w:p w14:paraId="35C0449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lastRenderedPageBreak/>
        <w:t>Si se administran volúmenes grandes, el producto debe calentarse a temperatura</w:t>
      </w:r>
    </w:p>
    <w:p w14:paraId="2C142DF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ambiente o a la temperatura del cuerpo antes de su uso.</w:t>
      </w:r>
    </w:p>
    <w:p w14:paraId="1D3375A2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La solución es clara y ligeramente viscosa. No utilice la solución si está turbia o</w:t>
      </w:r>
    </w:p>
    <w:p w14:paraId="5A347DB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con sedimentos. Esto puede indicar que la proteína es inestable o que la solución</w:t>
      </w:r>
    </w:p>
    <w:p w14:paraId="46CF9FEA" w14:textId="5FDB26C5" w:rsidR="001562FC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  <w:r>
        <w:rPr>
          <w:rFonts w:ascii="Frutiger-LightCn" w:hAnsi="Frutiger-LightCn" w:cs="Frutiger-LightCn"/>
          <w:sz w:val="18"/>
          <w:szCs w:val="18"/>
          <w:lang w:val="es-ES"/>
        </w:rPr>
        <w:t>se ha contaminado.</w:t>
      </w:r>
    </w:p>
    <w:p w14:paraId="756B4AC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  <w:lang w:val="es-ES"/>
        </w:rPr>
      </w:pPr>
    </w:p>
    <w:p w14:paraId="19534ABB" w14:textId="2564AD50" w:rsidR="00AC44F9" w:rsidRDefault="00AC44F9" w:rsidP="00AC44F9">
      <w:pPr>
        <w:autoSpaceDE w:val="0"/>
        <w:autoSpaceDN w:val="0"/>
        <w:adjustRightInd w:val="0"/>
        <w:spacing w:after="0" w:line="240" w:lineRule="auto"/>
      </w:pPr>
    </w:p>
    <w:p w14:paraId="509C99D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Una vez abierto el frasco, el contenido debe utilizarse de inmediato. El producto</w:t>
      </w:r>
    </w:p>
    <w:p w14:paraId="22C5B17B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sobrante o material de desecho deben eliminarse de acuerdo con las regulaciones</w:t>
      </w:r>
    </w:p>
    <w:p w14:paraId="15368B43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locales.</w:t>
      </w:r>
    </w:p>
    <w:p w14:paraId="6889391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Empaques</w:t>
      </w:r>
    </w:p>
    <w:p w14:paraId="735F361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proofErr w:type="spellStart"/>
      <w:r>
        <w:t>AlbuRx</w:t>
      </w:r>
      <w:proofErr w:type="spellEnd"/>
      <w:r>
        <w:t xml:space="preserve"> 25 frasco para un solo uso, vidrio tipo II (</w:t>
      </w:r>
      <w:proofErr w:type="spellStart"/>
      <w:r>
        <w:t>Ph</w:t>
      </w:r>
      <w:proofErr w:type="spellEnd"/>
      <w:r>
        <w:t xml:space="preserve">. </w:t>
      </w:r>
      <w:proofErr w:type="spellStart"/>
      <w:r>
        <w:t>Eur</w:t>
      </w:r>
      <w:proofErr w:type="spellEnd"/>
      <w:r>
        <w:t>.)</w:t>
      </w:r>
    </w:p>
    <w:p w14:paraId="26A9EB7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• 12.5 g / 50 ml</w:t>
      </w:r>
    </w:p>
    <w:p w14:paraId="5FBA099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• 25 g / 100 ml</w:t>
      </w:r>
    </w:p>
    <w:p w14:paraId="7F0FDBBE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Fabricado por</w:t>
      </w:r>
    </w:p>
    <w:p w14:paraId="1E6E171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CSL Behring LLC</w:t>
      </w:r>
    </w:p>
    <w:p w14:paraId="00779137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IL 60901</w:t>
      </w:r>
    </w:p>
    <w:p w14:paraId="2259AB8F" w14:textId="3021CFBA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USA</w:t>
      </w:r>
    </w:p>
    <w:p w14:paraId="1C2AD509" w14:textId="323B722B" w:rsidR="00AC44F9" w:rsidRDefault="00AC44F9" w:rsidP="00AC44F9">
      <w:pPr>
        <w:autoSpaceDE w:val="0"/>
        <w:autoSpaceDN w:val="0"/>
        <w:adjustRightInd w:val="0"/>
        <w:spacing w:after="0" w:line="240" w:lineRule="auto"/>
      </w:pPr>
    </w:p>
    <w:p w14:paraId="09B3886F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Importado y Comercializado por</w:t>
      </w:r>
    </w:p>
    <w:p w14:paraId="4785BAE1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QUIMFA S.A.</w:t>
      </w:r>
    </w:p>
    <w:p w14:paraId="705F1830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Av. Primer Presidente N° 1736</w:t>
      </w:r>
    </w:p>
    <w:p w14:paraId="0B2FCA1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Teléf.: +595 21 289 4000 R.A.</w:t>
      </w:r>
    </w:p>
    <w:p w14:paraId="4368E0D9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Reg. Sanitario N°</w:t>
      </w:r>
    </w:p>
    <w:p w14:paraId="2986AE6A" w14:textId="77777777" w:rsid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D.T. Q.F. Laura Ramírez</w:t>
      </w:r>
    </w:p>
    <w:p w14:paraId="2D97A26E" w14:textId="2EDDDA39" w:rsidR="00AC44F9" w:rsidRPr="00AC44F9" w:rsidRDefault="00AC44F9" w:rsidP="00AC44F9">
      <w:pPr>
        <w:autoSpaceDE w:val="0"/>
        <w:autoSpaceDN w:val="0"/>
        <w:adjustRightInd w:val="0"/>
        <w:spacing w:after="0" w:line="240" w:lineRule="auto"/>
      </w:pPr>
      <w:r>
        <w:t>Reg. Prof. Nº 4.142</w:t>
      </w:r>
    </w:p>
    <w:sectPr w:rsidR="00AC44F9" w:rsidRPr="00AC4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Cn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F9"/>
    <w:rsid w:val="001562FC"/>
    <w:rsid w:val="00AC44F9"/>
    <w:rsid w:val="00B61E7F"/>
    <w:rsid w:val="00D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B10F"/>
  <w15:chartTrackingRefBased/>
  <w15:docId w15:val="{993F1049-644C-429B-B63C-40AA482B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1851</Words>
  <Characters>10186</Characters>
  <Application>Microsoft Office Word</Application>
  <DocSecurity>0</DocSecurity>
  <Lines>84</Lines>
  <Paragraphs>24</Paragraphs>
  <ScaleCrop>false</ScaleCrop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admin</cp:lastModifiedBy>
  <cp:revision>2</cp:revision>
  <dcterms:created xsi:type="dcterms:W3CDTF">2020-06-17T15:23:00Z</dcterms:created>
  <dcterms:modified xsi:type="dcterms:W3CDTF">2021-06-11T18:52:00Z</dcterms:modified>
</cp:coreProperties>
</file>