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F81" w:rsidRDefault="00EC7F81" w:rsidP="00EC7F81">
      <w:pPr>
        <w:pStyle w:val="NormalWeb"/>
      </w:pPr>
      <w:bookmarkStart w:id="0" w:name="_GoBack"/>
      <w:bookmarkEnd w:id="0"/>
      <w:r>
        <w:t>ANISTON®</w:t>
      </w:r>
    </w:p>
    <w:p w:rsidR="00EC7F81" w:rsidRDefault="00EC7F81" w:rsidP="00EC7F81">
      <w:pPr>
        <w:pStyle w:val="NormalWeb"/>
      </w:pPr>
      <w:r>
        <w:t>PINAVERIO BROMURO</w:t>
      </w:r>
    </w:p>
    <w:p w:rsidR="00EC7F81" w:rsidRDefault="00EC7F81" w:rsidP="00EC7F81">
      <w:pPr>
        <w:pStyle w:val="NormalWeb"/>
      </w:pPr>
      <w:r>
        <w:t>Venta Bajo Receta Comprimidos Recubiertos</w:t>
      </w:r>
    </w:p>
    <w:p w:rsidR="00EC7F81" w:rsidRDefault="00EC7F81" w:rsidP="00EC7F81">
      <w:pPr>
        <w:pStyle w:val="NormalWeb"/>
      </w:pPr>
      <w:r>
        <w:t xml:space="preserve">Industria Paraguaya V.A.: Oral </w:t>
      </w:r>
    </w:p>
    <w:p w:rsidR="00EC7F81" w:rsidRDefault="00EC7F81" w:rsidP="00EC7F81">
      <w:pPr>
        <w:pStyle w:val="NormalWeb"/>
      </w:pPr>
      <w:r>
        <w:t>ANISTON® 50</w:t>
      </w:r>
    </w:p>
    <w:p w:rsidR="00EC7F81" w:rsidRDefault="00EC7F81" w:rsidP="00EC7F81">
      <w:pPr>
        <w:pStyle w:val="NormalWeb"/>
      </w:pPr>
      <w:r>
        <w:t>PINAVERIO BROMURO 50 mg</w:t>
      </w:r>
    </w:p>
    <w:p w:rsidR="00EC7F81" w:rsidRDefault="00EC7F81" w:rsidP="00EC7F81">
      <w:pPr>
        <w:pStyle w:val="NormalWeb"/>
      </w:pPr>
      <w:r>
        <w:t>FORMULA:</w:t>
      </w:r>
    </w:p>
    <w:p w:rsidR="00EC7F81" w:rsidRDefault="00EC7F81" w:rsidP="00EC7F81">
      <w:pPr>
        <w:pStyle w:val="NormalWeb"/>
      </w:pPr>
      <w:r>
        <w:t>Cada comprimido recubierto contiene:</w:t>
      </w:r>
    </w:p>
    <w:p w:rsidR="00EC7F81" w:rsidRDefault="00EC7F81" w:rsidP="00EC7F81">
      <w:pPr>
        <w:pStyle w:val="NormalWeb"/>
      </w:pPr>
      <w:proofErr w:type="spellStart"/>
      <w:r>
        <w:t>Pinaverio</w:t>
      </w:r>
      <w:proofErr w:type="spellEnd"/>
      <w:r>
        <w:t xml:space="preserve"> Bromuro….......................................................................................50 mg.</w:t>
      </w:r>
    </w:p>
    <w:p w:rsidR="00EC7F81" w:rsidRDefault="00EC7F81" w:rsidP="00EC7F81">
      <w:pPr>
        <w:pStyle w:val="NormalWeb"/>
      </w:pPr>
      <w:proofErr w:type="gramStart"/>
      <w:r>
        <w:t>Excipientes …</w:t>
      </w:r>
      <w:proofErr w:type="gramEnd"/>
      <w:r>
        <w:t xml:space="preserve">................................................................................................... </w:t>
      </w:r>
      <w:proofErr w:type="spellStart"/>
      <w:r>
        <w:t>c.s.p</w:t>
      </w:r>
      <w:proofErr w:type="spellEnd"/>
      <w:r>
        <w:t>.</w:t>
      </w:r>
    </w:p>
    <w:p w:rsidR="00EC7F81" w:rsidRDefault="00EC7F81" w:rsidP="00EC7F81">
      <w:pPr>
        <w:pStyle w:val="NormalWeb"/>
      </w:pPr>
      <w:r>
        <w:t>ANISTON® 100</w:t>
      </w:r>
    </w:p>
    <w:p w:rsidR="00EC7F81" w:rsidRDefault="00EC7F81" w:rsidP="00EC7F81">
      <w:pPr>
        <w:pStyle w:val="NormalWeb"/>
      </w:pPr>
      <w:r>
        <w:t>PINAVERIO BROMURO 100 mg</w:t>
      </w:r>
    </w:p>
    <w:p w:rsidR="00EC7F81" w:rsidRDefault="00EC7F81" w:rsidP="00EC7F81">
      <w:pPr>
        <w:pStyle w:val="NormalWeb"/>
      </w:pPr>
      <w:r>
        <w:t>FORMULA:</w:t>
      </w:r>
    </w:p>
    <w:p w:rsidR="00EC7F81" w:rsidRDefault="00EC7F81" w:rsidP="00EC7F81">
      <w:pPr>
        <w:pStyle w:val="NormalWeb"/>
      </w:pPr>
      <w:r>
        <w:t>Cada comprimido recubierto contiene:</w:t>
      </w:r>
    </w:p>
    <w:p w:rsidR="00EC7F81" w:rsidRDefault="00EC7F81" w:rsidP="00EC7F81">
      <w:pPr>
        <w:pStyle w:val="NormalWeb"/>
      </w:pPr>
      <w:proofErr w:type="spellStart"/>
      <w:r>
        <w:t>Pinaverio</w:t>
      </w:r>
      <w:proofErr w:type="spellEnd"/>
      <w:r>
        <w:t xml:space="preserve"> Bromuro….......................................................................................100 mg.</w:t>
      </w:r>
    </w:p>
    <w:p w:rsidR="00EC7F81" w:rsidRDefault="00EC7F81" w:rsidP="00EC7F81">
      <w:pPr>
        <w:pStyle w:val="NormalWeb"/>
      </w:pPr>
      <w:proofErr w:type="gramStart"/>
      <w:r>
        <w:t>Excipientes …</w:t>
      </w:r>
      <w:proofErr w:type="gramEnd"/>
      <w:r>
        <w:t xml:space="preserve">..................................................................................................... </w:t>
      </w:r>
      <w:proofErr w:type="spellStart"/>
      <w:r>
        <w:t>c.s.p</w:t>
      </w:r>
      <w:proofErr w:type="spellEnd"/>
      <w:r>
        <w:t>.</w:t>
      </w:r>
    </w:p>
    <w:p w:rsidR="00EC7F81" w:rsidRDefault="00EC7F81" w:rsidP="00EC7F81">
      <w:pPr>
        <w:pStyle w:val="NormalWeb"/>
      </w:pPr>
      <w:r>
        <w:t>ACCION TERAPEUTICA:</w:t>
      </w:r>
    </w:p>
    <w:p w:rsidR="00EC7F81" w:rsidRDefault="00EC7F81" w:rsidP="00EC7F81">
      <w:pPr>
        <w:pStyle w:val="NormalWeb"/>
      </w:pPr>
      <w:r>
        <w:t>Antiespasmódico.</w:t>
      </w:r>
    </w:p>
    <w:p w:rsidR="00EC7F81" w:rsidRDefault="00EC7F81" w:rsidP="00EC7F81">
      <w:pPr>
        <w:pStyle w:val="NormalWeb"/>
      </w:pPr>
      <w:r>
        <w:t>MECANISMO DE ACCIÓN Y DATOS FARMACOCINÉTICOS:</w:t>
      </w:r>
    </w:p>
    <w:p w:rsidR="00EC7F81" w:rsidRDefault="00EC7F81" w:rsidP="00EC7F81">
      <w:pPr>
        <w:pStyle w:val="NormalWeb"/>
      </w:pPr>
      <w:r>
        <w:t xml:space="preserve">El </w:t>
      </w:r>
      <w:proofErr w:type="spellStart"/>
      <w:r>
        <w:t>Pinaverio</w:t>
      </w:r>
      <w:proofErr w:type="spellEnd"/>
      <w:r>
        <w:t xml:space="preserve"> Bromuro es un antiespasmódico no </w:t>
      </w:r>
      <w:proofErr w:type="spellStart"/>
      <w:r>
        <w:t>atropínico</w:t>
      </w:r>
      <w:proofErr w:type="spellEnd"/>
      <w:r>
        <w:t xml:space="preserve"> con especificidad digestiva, es un calcio-antagonista </w:t>
      </w:r>
      <w:proofErr w:type="spellStart"/>
      <w:r>
        <w:t>musculotropo</w:t>
      </w:r>
      <w:proofErr w:type="spellEnd"/>
      <w:r>
        <w:t xml:space="preserve"> que actúa específicamente sobre la célula muscular lisa del aparato digestivo. No tiene acción cardiovascular.</w:t>
      </w:r>
    </w:p>
    <w:p w:rsidR="00EC7F81" w:rsidRDefault="00EC7F81" w:rsidP="00EC7F81">
      <w:pPr>
        <w:pStyle w:val="NormalWeb"/>
      </w:pPr>
      <w:r>
        <w:t xml:space="preserve">El grupo amonio cuaternario del Bromuro de </w:t>
      </w:r>
      <w:proofErr w:type="spellStart"/>
      <w:r>
        <w:t>Pinaverio</w:t>
      </w:r>
      <w:proofErr w:type="spellEnd"/>
      <w:r>
        <w:t xml:space="preserve"> limita su paso a través de las membranas lipídicas, por lo que sólo el 8-10% de la dosis administrada se absorbe. Difunde a través de la mucosa del tubo digestivo en dirección al músculo liso.</w:t>
      </w:r>
    </w:p>
    <w:p w:rsidR="00EC7F81" w:rsidRDefault="00EC7F81" w:rsidP="00EC7F81">
      <w:pPr>
        <w:pStyle w:val="NormalWeb"/>
      </w:pPr>
      <w:r>
        <w:t xml:space="preserve">Se ha estudiado la acción del Bromuro de </w:t>
      </w:r>
      <w:proofErr w:type="spellStart"/>
      <w:r>
        <w:t>Pinaverio</w:t>
      </w:r>
      <w:proofErr w:type="spellEnd"/>
      <w:r>
        <w:t xml:space="preserve"> sobre la respuesta motora del colon en pacientes con alteraciones funcionales. Los registros </w:t>
      </w:r>
      <w:proofErr w:type="spellStart"/>
      <w:r>
        <w:t>mioeléctricos</w:t>
      </w:r>
      <w:proofErr w:type="spellEnd"/>
      <w:r>
        <w:t xml:space="preserve"> del colon durante la colonoscopia (2 horas antes de ingerir alimentos y 3 horas después) muestran que suprime la respuesta motora postprandial (reflejo </w:t>
      </w:r>
      <w:proofErr w:type="spellStart"/>
      <w:r>
        <w:t>gastrocólico</w:t>
      </w:r>
      <w:proofErr w:type="spellEnd"/>
      <w:r>
        <w:t>).</w:t>
      </w:r>
    </w:p>
    <w:p w:rsidR="00EC7F81" w:rsidRDefault="00EC7F81" w:rsidP="00EC7F81">
      <w:pPr>
        <w:pStyle w:val="NormalWeb"/>
      </w:pPr>
      <w:r>
        <w:lastRenderedPageBreak/>
        <w:t xml:space="preserve">Las </w:t>
      </w:r>
      <w:proofErr w:type="spellStart"/>
      <w:r>
        <w:t>electromanometrías</w:t>
      </w:r>
      <w:proofErr w:type="spellEnd"/>
      <w:r>
        <w:t xml:space="preserve"> obtenidas tras estimulación mecánica en pacientes con alteraciones motoras intestinales, muestran que disminuye significativamente el índice de motilidad (en mayor grado la duración que la intensidad de las contracciones). No prolonga el tiempo de tránsito en ningún tipo de estudio y acelera en forma significativa el tiempo de tránsito en el colon descendente en pacientes con alteraciones motoras intestinales y en pacientes con estreñimiento crónico. Su concentración sérica máxima se alcanza a la hora. Se une en un 97% a las proteínas plasmáticas. Es metabolizado en el hígado y eliminado por vía biliar. Tiene una vida media de 1-2 horas.</w:t>
      </w:r>
    </w:p>
    <w:p w:rsidR="00EC7F81" w:rsidRDefault="00EC7F81" w:rsidP="00EC7F81">
      <w:pPr>
        <w:pStyle w:val="NormalWeb"/>
      </w:pPr>
      <w:r>
        <w:t>INDICACIONES TERAPEUTICAS:</w:t>
      </w:r>
    </w:p>
    <w:p w:rsidR="00EC7F81" w:rsidRDefault="00EC7F81" w:rsidP="00EC7F81">
      <w:pPr>
        <w:pStyle w:val="NormalWeb"/>
      </w:pPr>
      <w:r>
        <w:t>Colopatías funcionales, colon irritable, disquinesia biliar, disquinesia esofágica, preparación para radiología digestiva.</w:t>
      </w:r>
    </w:p>
    <w:p w:rsidR="00EC7F81" w:rsidRDefault="00EC7F81" w:rsidP="00EC7F81">
      <w:pPr>
        <w:pStyle w:val="NormalWeb"/>
      </w:pPr>
      <w:r>
        <w:t>POSOLOGÍA:</w:t>
      </w:r>
    </w:p>
    <w:p w:rsidR="00EC7F81" w:rsidRDefault="00EC7F81" w:rsidP="00EC7F81">
      <w:pPr>
        <w:pStyle w:val="NormalWeb"/>
      </w:pPr>
      <w:r>
        <w:t xml:space="preserve">Vía oral. </w:t>
      </w:r>
      <w:proofErr w:type="spellStart"/>
      <w:r>
        <w:t>Aniston</w:t>
      </w:r>
      <w:proofErr w:type="spellEnd"/>
      <w:r>
        <w:t xml:space="preserve"> 50: 1 comprimido recubierto cada 8 horas, pudiendo alcanzar en casos excepcionales una dosis máxima de 300 mg (6 comprimidos recubiertos) por día.</w:t>
      </w:r>
    </w:p>
    <w:p w:rsidR="00EC7F81" w:rsidRDefault="00EC7F81" w:rsidP="00EC7F81">
      <w:pPr>
        <w:pStyle w:val="NormalWeb"/>
      </w:pPr>
      <w:proofErr w:type="spellStart"/>
      <w:r>
        <w:t>Aniston</w:t>
      </w:r>
      <w:proofErr w:type="spellEnd"/>
      <w:r>
        <w:t xml:space="preserve"> 100: 1 comprimido recubierto cada 12 horas. En casos excepcionales podrá administrarse 1 comprimido recubierto cada 8 horas. Se recomienda que los comprimidos recubiertos sean administrados durante las comidas </w:t>
      </w:r>
      <w:proofErr w:type="gramStart"/>
      <w:r>
        <w:t>seguidos</w:t>
      </w:r>
      <w:proofErr w:type="gramEnd"/>
      <w:r>
        <w:t xml:space="preserve"> de un vaso con agua.</w:t>
      </w:r>
    </w:p>
    <w:p w:rsidR="00EC7F81" w:rsidRDefault="00EC7F81" w:rsidP="00EC7F81">
      <w:pPr>
        <w:pStyle w:val="NormalWeb"/>
      </w:pPr>
      <w:r>
        <w:t>CONTRAINDICACIONES:</w:t>
      </w:r>
    </w:p>
    <w:p w:rsidR="00EC7F81" w:rsidRDefault="00EC7F81" w:rsidP="00EC7F81">
      <w:pPr>
        <w:pStyle w:val="NormalWeb"/>
      </w:pPr>
      <w:r>
        <w:t xml:space="preserve">Hipersensibilidad al </w:t>
      </w:r>
      <w:proofErr w:type="spellStart"/>
      <w:r>
        <w:t>Pinaverio</w:t>
      </w:r>
      <w:proofErr w:type="spellEnd"/>
      <w:r>
        <w:t xml:space="preserve"> </w:t>
      </w:r>
      <w:proofErr w:type="gramStart"/>
      <w:r>
        <w:t>Bromuro .</w:t>
      </w:r>
      <w:proofErr w:type="gramEnd"/>
      <w:r>
        <w:t xml:space="preserve"> Si bien prácticamente no es absorbido, por precaución se desaconseja su uso durante el embarazo y la lactancia. No hay experiencia en niños por lo que no se aconseja su administración. Si bien su actividad anticolinérgica es mínima se recomienda precaución en los ancianos.</w:t>
      </w:r>
    </w:p>
    <w:p w:rsidR="00EC7F81" w:rsidRDefault="00EC7F81" w:rsidP="00EC7F81">
      <w:pPr>
        <w:pStyle w:val="NormalWeb"/>
      </w:pPr>
      <w:r>
        <w:t>REACCIONES ADVERSAS Y EFECTOS COLATERALES:</w:t>
      </w:r>
    </w:p>
    <w:p w:rsidR="00EC7F81" w:rsidRDefault="00EC7F81" w:rsidP="00EC7F81">
      <w:pPr>
        <w:pStyle w:val="NormalWeb"/>
      </w:pPr>
      <w:r>
        <w:t>Pueden presentarse náuseas, vómitos y pirosis discretas de carácter transitorio, a veces constipación leve. Excepcionalmente esofagitis. No se han establecido interacciones con otros fármacos de uso frecuente.</w:t>
      </w:r>
    </w:p>
    <w:p w:rsidR="00EC7F81" w:rsidRDefault="00EC7F81" w:rsidP="00EC7F81">
      <w:pPr>
        <w:pStyle w:val="NormalWeb"/>
      </w:pPr>
      <w:r>
        <w:t>INTERACCIÓN CON MEDICAMENTOS Y ALIMENTOS:</w:t>
      </w:r>
    </w:p>
    <w:p w:rsidR="00EC7F81" w:rsidRDefault="00EC7F81" w:rsidP="00EC7F81">
      <w:pPr>
        <w:pStyle w:val="NormalWeb"/>
      </w:pPr>
      <w:r>
        <w:t>Hasta el momento no se han descrito.</w:t>
      </w:r>
    </w:p>
    <w:p w:rsidR="00EC7F81" w:rsidRDefault="00EC7F81" w:rsidP="00EC7F81">
      <w:pPr>
        <w:pStyle w:val="NormalWeb"/>
      </w:pPr>
      <w:r>
        <w:t>SOBREDOSIFICACION:</w:t>
      </w:r>
    </w:p>
    <w:p w:rsidR="00EC7F81" w:rsidRDefault="00EC7F81" w:rsidP="00EC7F81">
      <w:pPr>
        <w:pStyle w:val="NormalWeb"/>
      </w:pPr>
      <w:r>
        <w:t>En estudios toxicológicos para determinar la toxicidad aguda, se estableció una DL50 para ratones de 1,644 mg/kg/día por vía oral y para la toxicidad crónica se administró a ratas hasta 250 mg/kg/día por un año, siendo bien tolerado, por lo que no existe peligro de sobredosificación.</w:t>
      </w:r>
    </w:p>
    <w:p w:rsidR="00EC7F81" w:rsidRDefault="00EC7F81" w:rsidP="00EC7F81">
      <w:pPr>
        <w:pStyle w:val="NormalWeb"/>
      </w:pPr>
      <w:r>
        <w:t>En caso de sobredosis o ingestión accidental, consultar al Servicio de Toxicología del Hospital de EMERGENCIAS MEDICAS Tel.: 220-418 o el 204-800 (</w:t>
      </w:r>
      <w:proofErr w:type="spellStart"/>
      <w:r>
        <w:t>int</w:t>
      </w:r>
      <w:proofErr w:type="spellEnd"/>
      <w:r>
        <w:t>. 011).</w:t>
      </w:r>
    </w:p>
    <w:p w:rsidR="00EC7F81" w:rsidRDefault="00EC7F81" w:rsidP="00EC7F81">
      <w:pPr>
        <w:pStyle w:val="NormalWeb"/>
      </w:pPr>
      <w:r>
        <w:lastRenderedPageBreak/>
        <w:t>CONSERVACION:</w:t>
      </w:r>
    </w:p>
    <w:p w:rsidR="00EC7F81" w:rsidRDefault="00EC7F81" w:rsidP="00EC7F81">
      <w:pPr>
        <w:pStyle w:val="NormalWeb"/>
      </w:pPr>
      <w:r>
        <w:t>Almacenar a temperatura entre 15° y 30 °C.</w:t>
      </w:r>
    </w:p>
    <w:p w:rsidR="00EC7F81" w:rsidRDefault="00EC7F81" w:rsidP="00EC7F81">
      <w:pPr>
        <w:pStyle w:val="NormalWeb"/>
      </w:pPr>
      <w:r>
        <w:t>PRESENTACIONES:</w:t>
      </w:r>
    </w:p>
    <w:p w:rsidR="00EC7F81" w:rsidRDefault="00EC7F81" w:rsidP="00EC7F81">
      <w:pPr>
        <w:pStyle w:val="NormalWeb"/>
      </w:pPr>
      <w:r>
        <w:t>Caja conteniendo 10/20/30 comprimidos recubiertos.</w:t>
      </w:r>
    </w:p>
    <w:p w:rsidR="00EC7F81" w:rsidRDefault="00EC7F81" w:rsidP="00EC7F81">
      <w:pPr>
        <w:pStyle w:val="NormalWeb"/>
      </w:pPr>
      <w:r>
        <w:t>Estos medicamentos deben ser usados únicamente por prescripción médica y no podrán repetirse sin nueva indicación del facultativo.</w:t>
      </w:r>
    </w:p>
    <w:p w:rsidR="00EC7F81" w:rsidRDefault="00EC7F81" w:rsidP="00EC7F81">
      <w:pPr>
        <w:pStyle w:val="NormalWeb"/>
      </w:pPr>
      <w:r>
        <w:t>En caso de uso de estos medicamentos sin prescripción médica, la ocurrencia de efectos adversos e indeseables, será de exclusiva responsabilidad de quien lo consuma.</w:t>
      </w:r>
    </w:p>
    <w:p w:rsidR="00EC7F81" w:rsidRDefault="00EC7F81" w:rsidP="00EC7F81">
      <w:pPr>
        <w:pStyle w:val="NormalWeb"/>
      </w:pPr>
      <w:r>
        <w:t>Si Ud. es deportista y está sometido a control de doping, no consuma estos productos sin consultar a su médico.</w:t>
      </w:r>
    </w:p>
    <w:p w:rsidR="00EC7F81" w:rsidRDefault="00EC7F81" w:rsidP="00EC7F81">
      <w:pPr>
        <w:pStyle w:val="NormalWeb"/>
      </w:pPr>
      <w:r>
        <w:t>Director Técnico: Q.F. Laura Ramírez</w:t>
      </w:r>
    </w:p>
    <w:p w:rsidR="00EC7F81" w:rsidRDefault="00EC7F81" w:rsidP="00EC7F81">
      <w:pPr>
        <w:pStyle w:val="NormalWeb"/>
      </w:pPr>
      <w:r>
        <w:t>Reg. Prof. Nº 4.142</w:t>
      </w:r>
    </w:p>
    <w:p w:rsidR="00EC7F81" w:rsidRDefault="00EC7F81" w:rsidP="00EC7F81">
      <w:pPr>
        <w:pStyle w:val="NormalWeb"/>
      </w:pPr>
      <w:r>
        <w:t>Autorizado por D.N.V.S. del M.S.P. y B.S.</w:t>
      </w:r>
    </w:p>
    <w:p w:rsidR="00EC7F81" w:rsidRDefault="00EC7F81" w:rsidP="00EC7F81">
      <w:pPr>
        <w:pStyle w:val="NormalWeb"/>
      </w:pPr>
      <w:r>
        <w:t xml:space="preserve">MANTENER FUERA DEL ALCANCE DE LOS NIÑOS </w:t>
      </w:r>
    </w:p>
    <w:p w:rsidR="001B5FC3" w:rsidRPr="00EC18BB" w:rsidRDefault="001B5FC3" w:rsidP="00EC7F81">
      <w:pPr>
        <w:pStyle w:val="NormalWeb"/>
      </w:pPr>
    </w:p>
    <w:sectPr w:rsidR="001B5FC3" w:rsidRPr="00EC18B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751"/>
    <w:rsid w:val="000911CE"/>
    <w:rsid w:val="001B5FC3"/>
    <w:rsid w:val="00624A7A"/>
    <w:rsid w:val="007A1967"/>
    <w:rsid w:val="008420F8"/>
    <w:rsid w:val="00B00FE0"/>
    <w:rsid w:val="00B765A5"/>
    <w:rsid w:val="00C06751"/>
    <w:rsid w:val="00CC7444"/>
    <w:rsid w:val="00DB024C"/>
    <w:rsid w:val="00EC18BB"/>
    <w:rsid w:val="00EC7F81"/>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BB3C74-973D-4EA3-B7EC-32FA1CCC0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06751"/>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76295">
      <w:bodyDiv w:val="1"/>
      <w:marLeft w:val="0"/>
      <w:marRight w:val="0"/>
      <w:marTop w:val="0"/>
      <w:marBottom w:val="0"/>
      <w:divBdr>
        <w:top w:val="none" w:sz="0" w:space="0" w:color="auto"/>
        <w:left w:val="none" w:sz="0" w:space="0" w:color="auto"/>
        <w:bottom w:val="none" w:sz="0" w:space="0" w:color="auto"/>
        <w:right w:val="none" w:sz="0" w:space="0" w:color="auto"/>
      </w:divBdr>
    </w:div>
    <w:div w:id="97990611">
      <w:bodyDiv w:val="1"/>
      <w:marLeft w:val="0"/>
      <w:marRight w:val="0"/>
      <w:marTop w:val="0"/>
      <w:marBottom w:val="0"/>
      <w:divBdr>
        <w:top w:val="none" w:sz="0" w:space="0" w:color="auto"/>
        <w:left w:val="none" w:sz="0" w:space="0" w:color="auto"/>
        <w:bottom w:val="none" w:sz="0" w:space="0" w:color="auto"/>
        <w:right w:val="none" w:sz="0" w:space="0" w:color="auto"/>
      </w:divBdr>
    </w:div>
    <w:div w:id="552812174">
      <w:bodyDiv w:val="1"/>
      <w:marLeft w:val="0"/>
      <w:marRight w:val="0"/>
      <w:marTop w:val="0"/>
      <w:marBottom w:val="0"/>
      <w:divBdr>
        <w:top w:val="none" w:sz="0" w:space="0" w:color="auto"/>
        <w:left w:val="none" w:sz="0" w:space="0" w:color="auto"/>
        <w:bottom w:val="none" w:sz="0" w:space="0" w:color="auto"/>
        <w:right w:val="none" w:sz="0" w:space="0" w:color="auto"/>
      </w:divBdr>
    </w:div>
    <w:div w:id="918827829">
      <w:bodyDiv w:val="1"/>
      <w:marLeft w:val="0"/>
      <w:marRight w:val="0"/>
      <w:marTop w:val="0"/>
      <w:marBottom w:val="0"/>
      <w:divBdr>
        <w:top w:val="none" w:sz="0" w:space="0" w:color="auto"/>
        <w:left w:val="none" w:sz="0" w:space="0" w:color="auto"/>
        <w:bottom w:val="none" w:sz="0" w:space="0" w:color="auto"/>
        <w:right w:val="none" w:sz="0" w:space="0" w:color="auto"/>
      </w:divBdr>
    </w:div>
    <w:div w:id="1056317177">
      <w:bodyDiv w:val="1"/>
      <w:marLeft w:val="0"/>
      <w:marRight w:val="0"/>
      <w:marTop w:val="0"/>
      <w:marBottom w:val="0"/>
      <w:divBdr>
        <w:top w:val="none" w:sz="0" w:space="0" w:color="auto"/>
        <w:left w:val="none" w:sz="0" w:space="0" w:color="auto"/>
        <w:bottom w:val="none" w:sz="0" w:space="0" w:color="auto"/>
        <w:right w:val="none" w:sz="0" w:space="0" w:color="auto"/>
      </w:divBdr>
    </w:div>
    <w:div w:id="1279680752">
      <w:bodyDiv w:val="1"/>
      <w:marLeft w:val="0"/>
      <w:marRight w:val="0"/>
      <w:marTop w:val="0"/>
      <w:marBottom w:val="0"/>
      <w:divBdr>
        <w:top w:val="none" w:sz="0" w:space="0" w:color="auto"/>
        <w:left w:val="none" w:sz="0" w:space="0" w:color="auto"/>
        <w:bottom w:val="none" w:sz="0" w:space="0" w:color="auto"/>
        <w:right w:val="none" w:sz="0" w:space="0" w:color="auto"/>
      </w:divBdr>
    </w:div>
    <w:div w:id="1515000292">
      <w:bodyDiv w:val="1"/>
      <w:marLeft w:val="0"/>
      <w:marRight w:val="0"/>
      <w:marTop w:val="0"/>
      <w:marBottom w:val="0"/>
      <w:divBdr>
        <w:top w:val="none" w:sz="0" w:space="0" w:color="auto"/>
        <w:left w:val="none" w:sz="0" w:space="0" w:color="auto"/>
        <w:bottom w:val="none" w:sz="0" w:space="0" w:color="auto"/>
        <w:right w:val="none" w:sz="0" w:space="0" w:color="auto"/>
      </w:divBdr>
    </w:div>
    <w:div w:id="1609848093">
      <w:bodyDiv w:val="1"/>
      <w:marLeft w:val="0"/>
      <w:marRight w:val="0"/>
      <w:marTop w:val="0"/>
      <w:marBottom w:val="0"/>
      <w:divBdr>
        <w:top w:val="none" w:sz="0" w:space="0" w:color="auto"/>
        <w:left w:val="none" w:sz="0" w:space="0" w:color="auto"/>
        <w:bottom w:val="none" w:sz="0" w:space="0" w:color="auto"/>
        <w:right w:val="none" w:sz="0" w:space="0" w:color="auto"/>
      </w:divBdr>
    </w:div>
    <w:div w:id="1905529962">
      <w:bodyDiv w:val="1"/>
      <w:marLeft w:val="0"/>
      <w:marRight w:val="0"/>
      <w:marTop w:val="0"/>
      <w:marBottom w:val="0"/>
      <w:divBdr>
        <w:top w:val="none" w:sz="0" w:space="0" w:color="auto"/>
        <w:left w:val="none" w:sz="0" w:space="0" w:color="auto"/>
        <w:bottom w:val="none" w:sz="0" w:space="0" w:color="auto"/>
        <w:right w:val="none" w:sz="0" w:space="0" w:color="auto"/>
      </w:divBdr>
    </w:div>
    <w:div w:id="214658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3951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2020-12-10T19:46:00Z</dcterms:created>
  <dcterms:modified xsi:type="dcterms:W3CDTF">2020-12-10T19:46:00Z</dcterms:modified>
</cp:coreProperties>
</file>