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FC0F" w14:textId="76AC3BBB" w:rsidR="00D301DB" w:rsidRPr="00D301DB" w:rsidRDefault="00D301DB" w:rsidP="00D301DB">
      <w:pPr>
        <w:jc w:val="center"/>
        <w:rPr>
          <w:rFonts w:ascii="Arial" w:hAnsi="Arial" w:cs="Arial"/>
          <w:b/>
          <w:bCs/>
          <w:sz w:val="24"/>
          <w:szCs w:val="24"/>
        </w:rPr>
      </w:pPr>
      <w:r w:rsidRPr="00D301DB">
        <w:rPr>
          <w:rFonts w:ascii="Arial" w:hAnsi="Arial" w:cs="Arial"/>
          <w:b/>
          <w:bCs/>
          <w:sz w:val="24"/>
          <w:szCs w:val="24"/>
        </w:rPr>
        <w:t>EPO 4000</w:t>
      </w:r>
    </w:p>
    <w:p w14:paraId="157E5E7E" w14:textId="487C76C9" w:rsidR="00D301DB" w:rsidRPr="00D301DB" w:rsidRDefault="00D301DB" w:rsidP="00D301DB">
      <w:pPr>
        <w:jc w:val="center"/>
        <w:rPr>
          <w:rFonts w:asciiTheme="minorHAnsi" w:hAnsiTheme="minorHAnsi" w:cs="Arial"/>
          <w:b/>
          <w:bCs/>
          <w:sz w:val="28"/>
          <w:szCs w:val="28"/>
          <w:lang w:val="pt-BR"/>
        </w:rPr>
      </w:pPr>
      <w:r w:rsidRPr="00D301DB">
        <w:rPr>
          <w:rFonts w:ascii="Arial" w:hAnsi="Arial" w:cs="Arial"/>
          <w:b/>
          <w:bCs/>
          <w:sz w:val="24"/>
          <w:szCs w:val="24"/>
        </w:rPr>
        <w:t>Eritropoyetina Humana Recombinante 4000 UI/1mL</w:t>
      </w:r>
    </w:p>
    <w:p w14:paraId="740BEF41" w14:textId="77777777" w:rsidR="00D301DB" w:rsidRDefault="00D301DB" w:rsidP="00D301DB">
      <w:pPr>
        <w:rPr>
          <w:rFonts w:asciiTheme="minorHAnsi" w:hAnsiTheme="minorHAnsi" w:cs="Arial"/>
          <w:sz w:val="24"/>
          <w:szCs w:val="24"/>
          <w:lang w:val="pt-BR"/>
        </w:rPr>
      </w:pPr>
    </w:p>
    <w:p w14:paraId="0F1AE170" w14:textId="77777777" w:rsidR="00D301DB" w:rsidRDefault="00D301DB" w:rsidP="00D301DB">
      <w:pPr>
        <w:rPr>
          <w:rFonts w:asciiTheme="minorHAnsi" w:hAnsiTheme="minorHAnsi" w:cs="Arial"/>
          <w:sz w:val="24"/>
          <w:szCs w:val="24"/>
          <w:lang w:val="pt-BR"/>
        </w:rPr>
      </w:pPr>
    </w:p>
    <w:p w14:paraId="6B2ED1FC" w14:textId="77777777" w:rsidR="00D301DB" w:rsidRDefault="00D301DB" w:rsidP="00D301DB">
      <w:pPr>
        <w:rPr>
          <w:rFonts w:asciiTheme="minorHAnsi" w:hAnsiTheme="minorHAnsi" w:cs="Arial"/>
          <w:sz w:val="24"/>
          <w:szCs w:val="24"/>
          <w:lang w:val="pt-BR"/>
        </w:rPr>
      </w:pPr>
    </w:p>
    <w:p w14:paraId="143F0EC0" w14:textId="15474BAC" w:rsidR="00D301DB" w:rsidRDefault="00D301DB" w:rsidP="00D301DB">
      <w:pPr>
        <w:rPr>
          <w:rFonts w:asciiTheme="minorHAnsi" w:hAnsiTheme="minorHAnsi" w:cs="Arial"/>
          <w:sz w:val="24"/>
          <w:szCs w:val="24"/>
          <w:lang w:val="pt-BR"/>
        </w:rPr>
      </w:pPr>
      <w:r>
        <w:rPr>
          <w:rFonts w:asciiTheme="minorHAnsi" w:hAnsiTheme="minorHAnsi" w:cs="Arial"/>
          <w:sz w:val="24"/>
          <w:szCs w:val="24"/>
          <w:lang w:val="pt-BR"/>
        </w:rPr>
        <w:t xml:space="preserve">Cada 1 </w:t>
      </w:r>
      <w:proofErr w:type="spellStart"/>
      <w:r>
        <w:rPr>
          <w:rFonts w:asciiTheme="minorHAnsi" w:hAnsiTheme="minorHAnsi" w:cs="Arial"/>
          <w:sz w:val="24"/>
          <w:szCs w:val="24"/>
          <w:lang w:val="pt-BR"/>
        </w:rPr>
        <w:t>mL</w:t>
      </w:r>
      <w:proofErr w:type="spellEnd"/>
      <w:r>
        <w:rPr>
          <w:rFonts w:asciiTheme="minorHAnsi" w:hAnsiTheme="minorHAnsi" w:cs="Arial"/>
          <w:sz w:val="24"/>
          <w:szCs w:val="24"/>
          <w:lang w:val="pt-BR"/>
        </w:rPr>
        <w:t xml:space="preserve"> </w:t>
      </w:r>
      <w:proofErr w:type="spellStart"/>
      <w:r>
        <w:rPr>
          <w:rFonts w:asciiTheme="minorHAnsi" w:hAnsiTheme="minorHAnsi" w:cs="Arial"/>
          <w:sz w:val="24"/>
          <w:szCs w:val="24"/>
          <w:lang w:val="pt-BR"/>
        </w:rPr>
        <w:t>contiene</w:t>
      </w:r>
      <w:proofErr w:type="spellEnd"/>
      <w:r>
        <w:rPr>
          <w:rFonts w:asciiTheme="minorHAnsi" w:hAnsiTheme="minorHAnsi" w:cs="Arial"/>
          <w:sz w:val="24"/>
          <w:szCs w:val="24"/>
          <w:lang w:val="pt-BR"/>
        </w:rPr>
        <w:t>:</w:t>
      </w:r>
    </w:p>
    <w:p w14:paraId="52258BEE" w14:textId="77777777" w:rsidR="00D301DB" w:rsidRDefault="00D301DB" w:rsidP="00D301DB">
      <w:pPr>
        <w:rPr>
          <w:rFonts w:ascii="Arial Narrow" w:hAnsi="Arial Narrow"/>
          <w:color w:val="000000"/>
          <w:sz w:val="20"/>
          <w:szCs w:val="20"/>
        </w:rPr>
      </w:pPr>
      <w:proofErr w:type="spellStart"/>
      <w:r>
        <w:rPr>
          <w:rFonts w:asciiTheme="minorHAnsi" w:hAnsiTheme="minorHAnsi" w:cs="Arial"/>
          <w:sz w:val="24"/>
          <w:szCs w:val="24"/>
          <w:lang w:val="pt-BR"/>
        </w:rPr>
        <w:t>Eritropoyetina</w:t>
      </w:r>
      <w:proofErr w:type="spellEnd"/>
      <w:r>
        <w:rPr>
          <w:rFonts w:asciiTheme="minorHAnsi" w:hAnsiTheme="minorHAnsi" w:cs="Arial"/>
          <w:sz w:val="24"/>
          <w:szCs w:val="24"/>
          <w:lang w:val="pt-BR"/>
        </w:rPr>
        <w:t xml:space="preserve"> Humana recombinante</w:t>
      </w:r>
      <w:r>
        <w:rPr>
          <w:rFonts w:ascii="Arial Narrow" w:hAnsi="Arial Narrow"/>
          <w:color w:val="000000"/>
          <w:sz w:val="20"/>
          <w:szCs w:val="20"/>
          <w:lang w:val="pt-BR"/>
        </w:rPr>
        <w:t xml:space="preserve"> </w:t>
      </w:r>
      <w:r>
        <w:rPr>
          <w:rFonts w:asciiTheme="minorHAnsi" w:hAnsiTheme="minorHAnsi" w:cs="Arial"/>
          <w:sz w:val="24"/>
          <w:szCs w:val="24"/>
          <w:lang w:val="pt-BR"/>
        </w:rPr>
        <w:t>................................. 4000 UI</w:t>
      </w:r>
    </w:p>
    <w:p w14:paraId="0575FB70" w14:textId="77777777" w:rsidR="00D301DB" w:rsidRDefault="00D301DB" w:rsidP="00D301DB">
      <w:pPr>
        <w:rPr>
          <w:rFonts w:asciiTheme="minorHAnsi" w:hAnsiTheme="minorHAnsi" w:cs="Arial"/>
          <w:sz w:val="24"/>
          <w:szCs w:val="24"/>
          <w:lang w:val="pt-BR"/>
        </w:rPr>
      </w:pPr>
      <w:r>
        <w:rPr>
          <w:rFonts w:asciiTheme="minorHAnsi" w:hAnsiTheme="minorHAnsi" w:cs="Arial"/>
          <w:sz w:val="24"/>
          <w:szCs w:val="24"/>
          <w:lang w:val="pt-BR"/>
        </w:rPr>
        <w:t xml:space="preserve">Excipientes ............................................................................. </w:t>
      </w:r>
      <w:proofErr w:type="spellStart"/>
      <w:r>
        <w:rPr>
          <w:rFonts w:asciiTheme="minorHAnsi" w:hAnsiTheme="minorHAnsi" w:cs="Arial"/>
          <w:sz w:val="24"/>
          <w:szCs w:val="24"/>
          <w:lang w:val="pt-BR"/>
        </w:rPr>
        <w:t>c.s.p</w:t>
      </w:r>
      <w:proofErr w:type="spellEnd"/>
      <w:r>
        <w:rPr>
          <w:rFonts w:asciiTheme="minorHAnsi" w:hAnsiTheme="minorHAnsi" w:cs="Arial"/>
          <w:sz w:val="24"/>
          <w:szCs w:val="24"/>
          <w:lang w:val="pt-BR"/>
        </w:rPr>
        <w:t>.</w:t>
      </w:r>
    </w:p>
    <w:p w14:paraId="1A3BA03A" w14:textId="77777777" w:rsidR="00D301DB" w:rsidRDefault="00D301DB" w:rsidP="00D301DB">
      <w:pPr>
        <w:jc w:val="left"/>
        <w:rPr>
          <w:rFonts w:asciiTheme="minorHAnsi" w:hAnsiTheme="minorHAnsi"/>
          <w:b/>
          <w:color w:val="000000"/>
          <w:sz w:val="24"/>
          <w:szCs w:val="24"/>
        </w:rPr>
      </w:pPr>
      <w:r>
        <w:rPr>
          <w:rFonts w:asciiTheme="minorHAnsi" w:hAnsiTheme="minorHAnsi"/>
          <w:b/>
          <w:color w:val="000000"/>
          <w:sz w:val="24"/>
          <w:szCs w:val="24"/>
        </w:rPr>
        <w:t xml:space="preserve">Vía de Administración:  </w:t>
      </w:r>
      <w:r>
        <w:rPr>
          <w:rFonts w:asciiTheme="minorHAnsi" w:hAnsiTheme="minorHAnsi"/>
          <w:color w:val="000000"/>
          <w:sz w:val="24"/>
          <w:szCs w:val="24"/>
        </w:rPr>
        <w:t xml:space="preserve">SC </w:t>
      </w:r>
      <w:proofErr w:type="spellStart"/>
      <w:r>
        <w:rPr>
          <w:rFonts w:asciiTheme="minorHAnsi" w:hAnsiTheme="minorHAnsi"/>
          <w:color w:val="000000"/>
          <w:sz w:val="24"/>
          <w:szCs w:val="24"/>
        </w:rPr>
        <w:t>ó</w:t>
      </w:r>
      <w:proofErr w:type="spellEnd"/>
      <w:r>
        <w:rPr>
          <w:rFonts w:asciiTheme="minorHAnsi" w:hAnsiTheme="minorHAnsi"/>
          <w:color w:val="000000"/>
          <w:sz w:val="24"/>
          <w:szCs w:val="24"/>
        </w:rPr>
        <w:t xml:space="preserve"> IV</w:t>
      </w:r>
    </w:p>
    <w:p w14:paraId="146B9B2E" w14:textId="77777777" w:rsidR="00D301DB" w:rsidRDefault="00D301DB" w:rsidP="00D301DB">
      <w:pPr>
        <w:spacing w:line="240" w:lineRule="auto"/>
        <w:jc w:val="left"/>
        <w:rPr>
          <w:b/>
          <w:sz w:val="24"/>
          <w:szCs w:val="24"/>
          <w:lang w:val="es-ES"/>
        </w:rPr>
      </w:pPr>
    </w:p>
    <w:p w14:paraId="594E45E6" w14:textId="1D064401" w:rsidR="00D301DB" w:rsidRDefault="00D301DB" w:rsidP="00D301DB">
      <w:pPr>
        <w:spacing w:line="240" w:lineRule="auto"/>
        <w:jc w:val="left"/>
        <w:rPr>
          <w:b/>
          <w:sz w:val="24"/>
          <w:szCs w:val="24"/>
          <w:lang w:val="es-ES"/>
        </w:rPr>
      </w:pPr>
      <w:r>
        <w:rPr>
          <w:b/>
          <w:sz w:val="24"/>
          <w:szCs w:val="24"/>
          <w:lang w:val="es-ES"/>
        </w:rPr>
        <w:t>Mecanismo de Acción:</w:t>
      </w:r>
    </w:p>
    <w:p w14:paraId="2ADC653E" w14:textId="77777777" w:rsidR="00D301DB" w:rsidRDefault="00D301DB" w:rsidP="00D301DB">
      <w:pPr>
        <w:spacing w:line="240" w:lineRule="auto"/>
        <w:jc w:val="left"/>
        <w:rPr>
          <w:b/>
          <w:sz w:val="24"/>
          <w:szCs w:val="24"/>
          <w:lang w:val="es-ES"/>
        </w:rPr>
      </w:pPr>
      <w:r>
        <w:rPr>
          <w:b/>
          <w:sz w:val="24"/>
          <w:szCs w:val="24"/>
          <w:lang w:val="es-ES"/>
        </w:rPr>
        <w:t xml:space="preserve">Propiedades farmacodinámicas: </w:t>
      </w:r>
    </w:p>
    <w:p w14:paraId="6424C972" w14:textId="77777777" w:rsidR="00D301DB" w:rsidRDefault="00D301DB" w:rsidP="00D301DB">
      <w:pPr>
        <w:autoSpaceDE w:val="0"/>
        <w:autoSpaceDN w:val="0"/>
        <w:adjustRightInd w:val="0"/>
        <w:spacing w:line="240" w:lineRule="auto"/>
        <w:ind w:left="0" w:firstLine="0"/>
        <w:jc w:val="left"/>
        <w:rPr>
          <w:b/>
          <w:sz w:val="24"/>
          <w:szCs w:val="24"/>
        </w:rPr>
      </w:pPr>
      <w:r>
        <w:rPr>
          <w:b/>
          <w:sz w:val="24"/>
          <w:szCs w:val="24"/>
        </w:rPr>
        <w:t>PROPIEDADES FARMACODINÁMICAS Y FARMACOCINÉTICAS</w:t>
      </w:r>
    </w:p>
    <w:p w14:paraId="72511704"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Eritropoyetina Humana Recombinante 4000 UI/1mL </w:t>
      </w:r>
      <w:proofErr w:type="spellStart"/>
      <w:r>
        <w:rPr>
          <w:sz w:val="24"/>
          <w:szCs w:val="24"/>
        </w:rPr>
        <w:t>Quimfa</w:t>
      </w:r>
      <w:proofErr w:type="spellEnd"/>
      <w:r>
        <w:rPr>
          <w:sz w:val="24"/>
          <w:szCs w:val="24"/>
        </w:rPr>
        <w:t xml:space="preserve"> es una eritropoyetina humana recombinante que contiene 165 aminoácidos y es obtenida por tecnología de ADN recombinante. Posee un peso molecular de 34.000 Dalton, es producida por células superiores en las cuales el gen de la eritropoyetina humana ha sido </w:t>
      </w:r>
      <w:proofErr w:type="spellStart"/>
      <w:r>
        <w:rPr>
          <w:sz w:val="24"/>
          <w:szCs w:val="24"/>
        </w:rPr>
        <w:t>transfectado</w:t>
      </w:r>
      <w:proofErr w:type="spellEnd"/>
      <w:r>
        <w:rPr>
          <w:sz w:val="24"/>
          <w:szCs w:val="24"/>
        </w:rPr>
        <w:t>. El producto contiene una secuencia de aminoácidos idéntica a la de la eritropoyetina natural.</w:t>
      </w:r>
    </w:p>
    <w:p w14:paraId="2BECF748" w14:textId="77777777" w:rsidR="00D301DB" w:rsidRDefault="00D301DB" w:rsidP="00D301DB">
      <w:pPr>
        <w:autoSpaceDE w:val="0"/>
        <w:autoSpaceDN w:val="0"/>
        <w:adjustRightInd w:val="0"/>
        <w:spacing w:line="240" w:lineRule="auto"/>
        <w:ind w:left="0" w:firstLine="0"/>
        <w:rPr>
          <w:sz w:val="24"/>
          <w:szCs w:val="24"/>
        </w:rPr>
      </w:pPr>
      <w:r>
        <w:rPr>
          <w:sz w:val="24"/>
          <w:szCs w:val="24"/>
        </w:rPr>
        <w:t>La eritropoyetina es una glicoproteína que estimula como factor hormonal de estimulación mitótica y diferenciación, la formación de eritrocitos desde los precursores del compartimento celular de origen.</w:t>
      </w:r>
    </w:p>
    <w:p w14:paraId="3CD73E54" w14:textId="77777777" w:rsidR="00D301DB" w:rsidRDefault="00D301DB" w:rsidP="00D301DB">
      <w:pPr>
        <w:autoSpaceDE w:val="0"/>
        <w:autoSpaceDN w:val="0"/>
        <w:adjustRightInd w:val="0"/>
        <w:spacing w:line="240" w:lineRule="auto"/>
        <w:ind w:left="0" w:firstLine="0"/>
        <w:jc w:val="left"/>
        <w:rPr>
          <w:b/>
          <w:sz w:val="24"/>
          <w:szCs w:val="24"/>
        </w:rPr>
      </w:pPr>
      <w:r>
        <w:rPr>
          <w:b/>
          <w:sz w:val="24"/>
          <w:szCs w:val="24"/>
        </w:rPr>
        <w:t>ACCIONES FARMACOLOGICAS</w:t>
      </w:r>
    </w:p>
    <w:p w14:paraId="287EE6B2" w14:textId="77777777" w:rsidR="00D301DB" w:rsidRDefault="00D301DB" w:rsidP="00D301DB">
      <w:pPr>
        <w:autoSpaceDE w:val="0"/>
        <w:autoSpaceDN w:val="0"/>
        <w:adjustRightInd w:val="0"/>
        <w:spacing w:line="240" w:lineRule="auto"/>
        <w:ind w:left="0" w:firstLine="0"/>
        <w:jc w:val="left"/>
        <w:rPr>
          <w:sz w:val="24"/>
          <w:szCs w:val="24"/>
        </w:rPr>
      </w:pPr>
      <w:r>
        <w:rPr>
          <w:sz w:val="24"/>
          <w:szCs w:val="24"/>
        </w:rPr>
        <w:t>Mecanismo de acción</w:t>
      </w:r>
    </w:p>
    <w:p w14:paraId="27650DC3" w14:textId="77777777" w:rsidR="00D301DB" w:rsidRDefault="00D301DB" w:rsidP="00D301DB">
      <w:pPr>
        <w:autoSpaceDE w:val="0"/>
        <w:autoSpaceDN w:val="0"/>
        <w:adjustRightInd w:val="0"/>
        <w:spacing w:line="240" w:lineRule="auto"/>
        <w:ind w:left="0" w:firstLine="0"/>
        <w:jc w:val="left"/>
        <w:rPr>
          <w:sz w:val="24"/>
          <w:szCs w:val="24"/>
        </w:rPr>
      </w:pPr>
      <w:r>
        <w:rPr>
          <w:sz w:val="24"/>
          <w:szCs w:val="24"/>
        </w:rPr>
        <w:t xml:space="preserve">Eritropoyetina Humana Recombinante 4000 UI/1mL </w:t>
      </w:r>
      <w:proofErr w:type="spellStart"/>
      <w:r>
        <w:rPr>
          <w:sz w:val="24"/>
          <w:szCs w:val="24"/>
        </w:rPr>
        <w:t>Quimfa</w:t>
      </w:r>
      <w:proofErr w:type="spellEnd"/>
      <w:r>
        <w:rPr>
          <w:sz w:val="24"/>
          <w:szCs w:val="24"/>
        </w:rPr>
        <w:t xml:space="preserve"> estimula la eritropoyesis por el mismo mecanismo como eritropoyetina endógena.</w:t>
      </w:r>
    </w:p>
    <w:p w14:paraId="6ACDB62C" w14:textId="77777777" w:rsidR="00D301DB" w:rsidRDefault="00D301DB" w:rsidP="00D301DB">
      <w:pPr>
        <w:autoSpaceDE w:val="0"/>
        <w:autoSpaceDN w:val="0"/>
        <w:adjustRightInd w:val="0"/>
        <w:spacing w:line="240" w:lineRule="auto"/>
        <w:ind w:left="0" w:firstLine="0"/>
        <w:jc w:val="left"/>
        <w:rPr>
          <w:b/>
          <w:i/>
          <w:sz w:val="24"/>
          <w:szCs w:val="24"/>
        </w:rPr>
      </w:pPr>
      <w:r>
        <w:rPr>
          <w:b/>
          <w:i/>
          <w:sz w:val="24"/>
          <w:szCs w:val="24"/>
        </w:rPr>
        <w:t>Pacientes con insuficiencia renal crónica</w:t>
      </w:r>
    </w:p>
    <w:p w14:paraId="70D2A8FF" w14:textId="77777777" w:rsidR="00D301DB" w:rsidRDefault="00D301DB" w:rsidP="00D301DB">
      <w:pPr>
        <w:autoSpaceDE w:val="0"/>
        <w:autoSpaceDN w:val="0"/>
        <w:adjustRightInd w:val="0"/>
        <w:spacing w:line="240" w:lineRule="auto"/>
        <w:ind w:left="0" w:firstLine="0"/>
        <w:rPr>
          <w:sz w:val="24"/>
          <w:szCs w:val="24"/>
        </w:rPr>
      </w:pPr>
      <w:r>
        <w:rPr>
          <w:sz w:val="24"/>
          <w:szCs w:val="24"/>
        </w:rPr>
        <w:t>La producción endógena de eritropoyetina, normalmente es regulada por el nivel de oxigenación de los tejidos. La hipoxia y la anemia, generalmente, incrementan la producción de eritropoyetina, que en cambio estimula la eritropoyesis. En sujetos normales, los niveles plasmáticos de eritropoyetina oscilan en el rango de 0,01 a 0,03 U/</w:t>
      </w:r>
      <w:proofErr w:type="spellStart"/>
      <w:r>
        <w:rPr>
          <w:sz w:val="24"/>
          <w:szCs w:val="24"/>
        </w:rPr>
        <w:t>mL</w:t>
      </w:r>
      <w:proofErr w:type="spellEnd"/>
      <w:r>
        <w:rPr>
          <w:sz w:val="24"/>
          <w:szCs w:val="24"/>
        </w:rPr>
        <w:t xml:space="preserve"> y se puede incrementar hasta 1000 veces durante períodos de hipoxia o anemia, en cambio, en pacientes con insuficiencia renal crónica, la producción de eritropoyetina endógena es deficiente y aunque la patogenia de la anemia en estos pacientes es multifactorial, es esta deficiencia la causa primaria. La insuficiencia renal crónica es la situación clínica en la cual ocurre una disminución progresiva y usualmente irreversible de la función renal y se presenta anemia como secuela de la disfunción renal.</w:t>
      </w:r>
    </w:p>
    <w:p w14:paraId="5CAA37F2" w14:textId="77777777" w:rsidR="00D301DB" w:rsidRDefault="00D301DB" w:rsidP="00D301DB">
      <w:pPr>
        <w:autoSpaceDE w:val="0"/>
        <w:autoSpaceDN w:val="0"/>
        <w:adjustRightInd w:val="0"/>
        <w:spacing w:line="240" w:lineRule="auto"/>
        <w:ind w:left="0" w:firstLine="0"/>
        <w:rPr>
          <w:sz w:val="24"/>
          <w:szCs w:val="24"/>
        </w:rPr>
      </w:pPr>
      <w:r>
        <w:rPr>
          <w:sz w:val="24"/>
          <w:szCs w:val="24"/>
        </w:rPr>
        <w:t>Los pacientes en estadio final de insuficiencia renal requieren de diálisis o trasplante para su sobrevida.</w:t>
      </w:r>
    </w:p>
    <w:p w14:paraId="09311BC1" w14:textId="77777777" w:rsidR="00D301DB" w:rsidRDefault="00D301DB" w:rsidP="00D301DB">
      <w:pPr>
        <w:autoSpaceDE w:val="0"/>
        <w:autoSpaceDN w:val="0"/>
        <w:adjustRightInd w:val="0"/>
        <w:spacing w:line="240" w:lineRule="auto"/>
        <w:ind w:left="0" w:firstLine="0"/>
        <w:rPr>
          <w:sz w:val="24"/>
          <w:szCs w:val="24"/>
        </w:rPr>
      </w:pPr>
      <w:r>
        <w:rPr>
          <w:sz w:val="24"/>
          <w:szCs w:val="24"/>
        </w:rPr>
        <w:t>Se ha demostrado que la eritropoyetina estimula la eritropoyesis en pacientes anémicos, tanto los que se someten a diálisis, como los que no lo están regularmente.</w:t>
      </w:r>
    </w:p>
    <w:p w14:paraId="3C02709D" w14:textId="77777777" w:rsidR="00D301DB" w:rsidRDefault="00D301DB" w:rsidP="00D301DB">
      <w:pPr>
        <w:autoSpaceDE w:val="0"/>
        <w:autoSpaceDN w:val="0"/>
        <w:adjustRightInd w:val="0"/>
        <w:spacing w:line="240" w:lineRule="auto"/>
        <w:ind w:left="0" w:firstLine="0"/>
        <w:rPr>
          <w:sz w:val="24"/>
          <w:szCs w:val="24"/>
        </w:rPr>
      </w:pPr>
      <w:r>
        <w:rPr>
          <w:sz w:val="24"/>
          <w:szCs w:val="24"/>
        </w:rPr>
        <w:t>La primera evidencia de respuesta a la eritropoyetina es el incremento en el conteo de reticulocitos en los primeros 10 días de tratamiento, seguido de un incremento en el conteo de células rojas, hemoglobina y hematocrito generalmente en las siguientes 2- 6 semanas.</w:t>
      </w:r>
    </w:p>
    <w:p w14:paraId="374A61A1" w14:textId="77777777" w:rsidR="00D301DB" w:rsidRDefault="00D301DB" w:rsidP="00D301DB">
      <w:pPr>
        <w:spacing w:line="240" w:lineRule="auto"/>
        <w:jc w:val="left"/>
        <w:rPr>
          <w:b/>
          <w:sz w:val="24"/>
          <w:szCs w:val="24"/>
          <w:lang w:val="es-ES"/>
        </w:rPr>
      </w:pPr>
      <w:r>
        <w:rPr>
          <w:b/>
          <w:sz w:val="24"/>
          <w:szCs w:val="24"/>
          <w:lang w:val="es-ES"/>
        </w:rPr>
        <w:t>Mecanismo de Acción:</w:t>
      </w:r>
    </w:p>
    <w:p w14:paraId="3B903604" w14:textId="77777777" w:rsidR="00D301DB" w:rsidRDefault="00D301DB" w:rsidP="00D301DB">
      <w:pPr>
        <w:autoSpaceDE w:val="0"/>
        <w:autoSpaceDN w:val="0"/>
        <w:adjustRightInd w:val="0"/>
        <w:spacing w:line="240" w:lineRule="auto"/>
        <w:ind w:left="0" w:firstLine="0"/>
        <w:rPr>
          <w:sz w:val="24"/>
          <w:szCs w:val="24"/>
        </w:rPr>
      </w:pPr>
      <w:r>
        <w:rPr>
          <w:sz w:val="24"/>
          <w:szCs w:val="24"/>
        </w:rPr>
        <w:lastRenderedPageBreak/>
        <w:t>Debido al tiempo requerido para la eritropoyesis, se requieren varios días para que los progenitores eritroides maduren y sean liberados a la circulación. El incremento significativo de la hemoglobina se observa pasadas dos semanas y pudiera requerir hasta 6 semanas en algunos pacientes. La tasa de incremento de la hemoglobina varía entre pacientes y depende de la dosis de eritropoyetina, con un rango terapéutico entre 50 a 300 UI/kg tres veces por semana. No se observa una respuesta biológica superior a dosis que excedan las 300 UI/kg tres veces por semana.</w:t>
      </w:r>
    </w:p>
    <w:p w14:paraId="2675156A" w14:textId="77777777" w:rsidR="00D301DB" w:rsidRDefault="00D301DB" w:rsidP="00D301DB">
      <w:pPr>
        <w:autoSpaceDE w:val="0"/>
        <w:autoSpaceDN w:val="0"/>
        <w:adjustRightInd w:val="0"/>
        <w:spacing w:line="240" w:lineRule="auto"/>
        <w:ind w:left="0" w:firstLine="0"/>
        <w:rPr>
          <w:sz w:val="24"/>
          <w:szCs w:val="24"/>
        </w:rPr>
      </w:pPr>
      <w:r>
        <w:rPr>
          <w:sz w:val="24"/>
          <w:szCs w:val="24"/>
        </w:rPr>
        <w:t>Otros factores que afectan la tasa y extensión de la respuesta incluyen la disponibilidad de reservas de hierro, la hemoglobina basal y la presencia de comorbilidades.</w:t>
      </w:r>
    </w:p>
    <w:p w14:paraId="74C354CD" w14:textId="77777777" w:rsidR="00D301DB" w:rsidRDefault="00D301DB" w:rsidP="00D301DB">
      <w:pPr>
        <w:autoSpaceDE w:val="0"/>
        <w:autoSpaceDN w:val="0"/>
        <w:adjustRightInd w:val="0"/>
        <w:spacing w:line="240" w:lineRule="auto"/>
        <w:ind w:left="0" w:firstLine="0"/>
        <w:jc w:val="left"/>
        <w:rPr>
          <w:b/>
          <w:i/>
          <w:sz w:val="24"/>
          <w:szCs w:val="24"/>
        </w:rPr>
      </w:pPr>
      <w:r>
        <w:rPr>
          <w:b/>
          <w:i/>
          <w:sz w:val="24"/>
          <w:szCs w:val="24"/>
        </w:rPr>
        <w:t>Pacientes con SIDA</w:t>
      </w:r>
    </w:p>
    <w:p w14:paraId="04993FC0"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El desarrollo de la anemia en los pacientes con SIDA está potenciado por el tratamiento con zidovudina, requiriendo, por este motivo, transfusiones. En estos pacientes, la respuesta depende del nivel endógeno de la molécula, si el paciente tiene niveles de eritropoyetina endógena inferiores a 500 </w:t>
      </w:r>
      <w:proofErr w:type="spellStart"/>
      <w:r>
        <w:rPr>
          <w:sz w:val="24"/>
          <w:szCs w:val="24"/>
        </w:rPr>
        <w:t>mU</w:t>
      </w:r>
      <w:proofErr w:type="spellEnd"/>
      <w:r>
        <w:rPr>
          <w:sz w:val="24"/>
          <w:szCs w:val="24"/>
        </w:rPr>
        <w:t>/</w:t>
      </w:r>
      <w:proofErr w:type="spellStart"/>
      <w:r>
        <w:rPr>
          <w:sz w:val="24"/>
          <w:szCs w:val="24"/>
        </w:rPr>
        <w:t>mL</w:t>
      </w:r>
      <w:proofErr w:type="spellEnd"/>
      <w:r>
        <w:rPr>
          <w:sz w:val="24"/>
          <w:szCs w:val="24"/>
        </w:rPr>
        <w:t xml:space="preserve"> debe responder al tratamiento. La respuesta a la eritropoyetina en pacientes con infección por VIH tratados con zidovudina puede reducir las necesidades de transfusiones e incrementar el hematocrito.</w:t>
      </w:r>
    </w:p>
    <w:p w14:paraId="062F6539" w14:textId="77777777" w:rsidR="00D301DB" w:rsidRDefault="00D301DB" w:rsidP="00D301DB">
      <w:pPr>
        <w:autoSpaceDE w:val="0"/>
        <w:autoSpaceDN w:val="0"/>
        <w:adjustRightInd w:val="0"/>
        <w:spacing w:line="240" w:lineRule="auto"/>
        <w:ind w:left="0" w:firstLine="0"/>
        <w:jc w:val="left"/>
        <w:rPr>
          <w:b/>
          <w:i/>
          <w:sz w:val="24"/>
          <w:szCs w:val="24"/>
        </w:rPr>
      </w:pPr>
      <w:r>
        <w:rPr>
          <w:b/>
          <w:i/>
          <w:sz w:val="24"/>
          <w:szCs w:val="24"/>
        </w:rPr>
        <w:t>Pacientes con cáncer</w:t>
      </w:r>
    </w:p>
    <w:p w14:paraId="634ADF39"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La anemia es frecuentemente un síntoma concomitante en pacientes con cáncer. El origen obedece a una combinación de factores, donde los efectos tóxicos directos de los agentes quimioterapéuticos utilizados, juegan un rol importante. Si el paciente tiene niveles de eritropoyetina endógena superiores a 200 </w:t>
      </w:r>
      <w:proofErr w:type="spellStart"/>
      <w:r>
        <w:rPr>
          <w:sz w:val="24"/>
          <w:szCs w:val="24"/>
        </w:rPr>
        <w:t>mU</w:t>
      </w:r>
      <w:proofErr w:type="spellEnd"/>
      <w:r>
        <w:rPr>
          <w:sz w:val="24"/>
          <w:szCs w:val="24"/>
        </w:rPr>
        <w:t>/</w:t>
      </w:r>
      <w:proofErr w:type="spellStart"/>
      <w:r>
        <w:rPr>
          <w:sz w:val="24"/>
          <w:szCs w:val="24"/>
        </w:rPr>
        <w:t>mL</w:t>
      </w:r>
      <w:proofErr w:type="spellEnd"/>
      <w:r>
        <w:rPr>
          <w:sz w:val="24"/>
          <w:szCs w:val="24"/>
        </w:rPr>
        <w:t xml:space="preserve"> no debe responder al tratamiento.</w:t>
      </w:r>
    </w:p>
    <w:p w14:paraId="4A626B4B" w14:textId="77777777" w:rsidR="00D301DB" w:rsidRDefault="00D301DB" w:rsidP="00D301DB">
      <w:pPr>
        <w:autoSpaceDE w:val="0"/>
        <w:autoSpaceDN w:val="0"/>
        <w:adjustRightInd w:val="0"/>
        <w:spacing w:line="240" w:lineRule="auto"/>
        <w:ind w:left="0" w:firstLine="0"/>
        <w:jc w:val="left"/>
        <w:rPr>
          <w:b/>
          <w:i/>
          <w:sz w:val="24"/>
          <w:szCs w:val="24"/>
        </w:rPr>
      </w:pPr>
      <w:r>
        <w:rPr>
          <w:b/>
          <w:i/>
          <w:sz w:val="24"/>
          <w:szCs w:val="24"/>
        </w:rPr>
        <w:t xml:space="preserve">Recién nacidos </w:t>
      </w:r>
      <w:proofErr w:type="spellStart"/>
      <w:r>
        <w:rPr>
          <w:b/>
          <w:i/>
          <w:sz w:val="24"/>
          <w:szCs w:val="24"/>
        </w:rPr>
        <w:t>pre-términos</w:t>
      </w:r>
      <w:proofErr w:type="spellEnd"/>
    </w:p>
    <w:p w14:paraId="3CBAF111" w14:textId="77777777" w:rsidR="00D301DB" w:rsidRDefault="00D301DB" w:rsidP="00D301DB">
      <w:pPr>
        <w:autoSpaceDE w:val="0"/>
        <w:autoSpaceDN w:val="0"/>
        <w:adjustRightInd w:val="0"/>
        <w:spacing w:line="240" w:lineRule="auto"/>
        <w:ind w:left="0" w:firstLine="0"/>
        <w:rPr>
          <w:sz w:val="24"/>
          <w:szCs w:val="24"/>
        </w:rPr>
      </w:pPr>
      <w:r>
        <w:rPr>
          <w:sz w:val="24"/>
          <w:szCs w:val="24"/>
        </w:rPr>
        <w:t>Los neonatos prematuros con pesos inferiores a 1500 g son objeto de transfusiones durante su ingreso en las unidades de neonatología como consecuencia de las múltiples determinaciones analíticas realizadas, asociándose además una baja producción de eritropoyetina. La administración de eritropoyetina disminuye los requerimientos transfusionales en esta población.</w:t>
      </w:r>
    </w:p>
    <w:p w14:paraId="19F2DF09" w14:textId="77777777" w:rsidR="00D301DB" w:rsidRDefault="00D301DB" w:rsidP="00D301DB">
      <w:pPr>
        <w:spacing w:line="240" w:lineRule="auto"/>
        <w:jc w:val="left"/>
        <w:rPr>
          <w:b/>
          <w:sz w:val="24"/>
          <w:szCs w:val="24"/>
          <w:lang w:val="es-ES"/>
        </w:rPr>
      </w:pPr>
      <w:r>
        <w:rPr>
          <w:b/>
          <w:sz w:val="24"/>
          <w:szCs w:val="24"/>
          <w:lang w:val="es-ES"/>
        </w:rPr>
        <w:t>Interacciones e incompatibilidades:</w:t>
      </w:r>
    </w:p>
    <w:p w14:paraId="1563228E"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No existen evidencias que indiquen que el tratamiento con Eritropoyetina Humana Recombinante 4000 UI/1mL </w:t>
      </w:r>
      <w:proofErr w:type="spellStart"/>
      <w:r>
        <w:rPr>
          <w:sz w:val="24"/>
          <w:szCs w:val="24"/>
        </w:rPr>
        <w:t>Quimfa</w:t>
      </w:r>
      <w:proofErr w:type="spellEnd"/>
      <w:r>
        <w:rPr>
          <w:sz w:val="24"/>
          <w:szCs w:val="24"/>
        </w:rPr>
        <w:t xml:space="preserve"> altere el metabolismo de otras drogas.</w:t>
      </w:r>
    </w:p>
    <w:p w14:paraId="1731639A" w14:textId="77777777" w:rsidR="00D301DB" w:rsidRDefault="00D301DB" w:rsidP="00D301DB">
      <w:pPr>
        <w:spacing w:line="240" w:lineRule="auto"/>
        <w:jc w:val="left"/>
        <w:rPr>
          <w:b/>
          <w:sz w:val="24"/>
          <w:szCs w:val="24"/>
          <w:lang w:val="es-ES"/>
        </w:rPr>
      </w:pPr>
      <w:r>
        <w:rPr>
          <w:b/>
          <w:sz w:val="24"/>
          <w:szCs w:val="24"/>
          <w:lang w:val="es-ES"/>
        </w:rPr>
        <w:t>Sobredosis, síntomas, tratamientos y antídotos:</w:t>
      </w:r>
    </w:p>
    <w:p w14:paraId="5CC6BF65"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La cantidad máxima de Eritropoyetina Humana Recombinante 4000 UI/1mL </w:t>
      </w:r>
      <w:proofErr w:type="spellStart"/>
      <w:r>
        <w:rPr>
          <w:sz w:val="24"/>
          <w:szCs w:val="24"/>
        </w:rPr>
        <w:t>Quimfa</w:t>
      </w:r>
      <w:proofErr w:type="spellEnd"/>
      <w:r>
        <w:rPr>
          <w:sz w:val="24"/>
          <w:szCs w:val="24"/>
        </w:rPr>
        <w:t xml:space="preserve"> que puede ser administrada en dosis simple o múltiple no ha sido determinada. Se han administrado dosis superiores a 1500 UI/kg, tres veces por semana. Este tratamiento puede producir policitemia si no se monitorea cuidadosamente la hemoglobina y se ajustan las dosis.</w:t>
      </w:r>
    </w:p>
    <w:p w14:paraId="4FA96539" w14:textId="77777777" w:rsidR="00D301DB" w:rsidRDefault="00D301DB" w:rsidP="00D301DB">
      <w:pPr>
        <w:autoSpaceDE w:val="0"/>
        <w:autoSpaceDN w:val="0"/>
        <w:adjustRightInd w:val="0"/>
        <w:spacing w:line="240" w:lineRule="auto"/>
        <w:ind w:left="0" w:firstLine="0"/>
        <w:rPr>
          <w:rFonts w:ascii="Arial" w:hAnsi="Arial"/>
          <w:b/>
          <w:bCs/>
          <w:i/>
          <w:color w:val="000000"/>
          <w:sz w:val="20"/>
          <w:szCs w:val="20"/>
        </w:rPr>
      </w:pPr>
      <w:r>
        <w:rPr>
          <w:rFonts w:ascii="Arial" w:hAnsi="Arial"/>
          <w:b/>
          <w:bCs/>
          <w:i/>
          <w:color w:val="000000"/>
          <w:sz w:val="20"/>
          <w:szCs w:val="20"/>
        </w:rPr>
        <w:t xml:space="preserve">En caso de sobredosis o ingesta accidental, consultar al Servicio de Toxicología del Hospital de EMERGENCIAS </w:t>
      </w:r>
      <w:proofErr w:type="gramStart"/>
      <w:r>
        <w:rPr>
          <w:rFonts w:ascii="Arial" w:hAnsi="Arial"/>
          <w:b/>
          <w:bCs/>
          <w:i/>
          <w:color w:val="000000"/>
          <w:sz w:val="20"/>
          <w:szCs w:val="20"/>
        </w:rPr>
        <w:t>MEDICAS  Tel.</w:t>
      </w:r>
      <w:proofErr w:type="gramEnd"/>
      <w:r>
        <w:rPr>
          <w:rFonts w:ascii="Arial" w:hAnsi="Arial"/>
          <w:b/>
          <w:bCs/>
          <w:i/>
          <w:color w:val="000000"/>
          <w:sz w:val="20"/>
          <w:szCs w:val="20"/>
        </w:rPr>
        <w:t>: 220-418 o el 204-800 (</w:t>
      </w:r>
      <w:proofErr w:type="spellStart"/>
      <w:r>
        <w:rPr>
          <w:rFonts w:ascii="Arial" w:hAnsi="Arial"/>
          <w:b/>
          <w:bCs/>
          <w:i/>
          <w:color w:val="000000"/>
          <w:sz w:val="20"/>
          <w:szCs w:val="20"/>
        </w:rPr>
        <w:t>int</w:t>
      </w:r>
      <w:proofErr w:type="spellEnd"/>
      <w:r>
        <w:rPr>
          <w:rFonts w:ascii="Arial" w:hAnsi="Arial"/>
          <w:b/>
          <w:bCs/>
          <w:i/>
          <w:color w:val="000000"/>
          <w:sz w:val="20"/>
          <w:szCs w:val="20"/>
        </w:rPr>
        <w:t>. 011).</w:t>
      </w:r>
    </w:p>
    <w:p w14:paraId="309D2C40" w14:textId="77777777" w:rsidR="00D301DB" w:rsidRDefault="00D301DB" w:rsidP="00D301DB">
      <w:pPr>
        <w:autoSpaceDE w:val="0"/>
        <w:autoSpaceDN w:val="0"/>
        <w:adjustRightInd w:val="0"/>
        <w:spacing w:line="240" w:lineRule="auto"/>
        <w:ind w:left="0" w:firstLine="0"/>
        <w:jc w:val="left"/>
        <w:rPr>
          <w:b/>
          <w:sz w:val="24"/>
          <w:szCs w:val="24"/>
          <w:lang w:val="es-ES"/>
        </w:rPr>
      </w:pPr>
    </w:p>
    <w:p w14:paraId="18B76659" w14:textId="77777777" w:rsidR="00D301DB" w:rsidRDefault="00D301DB" w:rsidP="00D301DB">
      <w:pPr>
        <w:autoSpaceDE w:val="0"/>
        <w:autoSpaceDN w:val="0"/>
        <w:adjustRightInd w:val="0"/>
        <w:spacing w:line="240" w:lineRule="auto"/>
        <w:ind w:left="0" w:firstLine="0"/>
        <w:jc w:val="left"/>
        <w:rPr>
          <w:sz w:val="24"/>
          <w:szCs w:val="24"/>
        </w:rPr>
      </w:pPr>
      <w:r>
        <w:rPr>
          <w:b/>
          <w:sz w:val="24"/>
          <w:szCs w:val="24"/>
          <w:lang w:val="es-ES"/>
        </w:rPr>
        <w:t>Posología y modo de uso:</w:t>
      </w:r>
    </w:p>
    <w:p w14:paraId="4EDE28AB"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Las dosis de Eritropoyetina Humana Recombinante 4000 UI/1mL </w:t>
      </w:r>
      <w:proofErr w:type="spellStart"/>
      <w:proofErr w:type="gramStart"/>
      <w:r>
        <w:rPr>
          <w:sz w:val="24"/>
          <w:szCs w:val="24"/>
        </w:rPr>
        <w:t>Quimfa</w:t>
      </w:r>
      <w:proofErr w:type="spellEnd"/>
      <w:r>
        <w:rPr>
          <w:sz w:val="24"/>
          <w:szCs w:val="24"/>
        </w:rPr>
        <w:t xml:space="preserve">  a</w:t>
      </w:r>
      <w:proofErr w:type="gramEnd"/>
      <w:r>
        <w:rPr>
          <w:sz w:val="24"/>
          <w:szCs w:val="24"/>
        </w:rPr>
        <w:t xml:space="preserve"> administrar, deberán ser las más bajas para reducir el número de transfusiones en los pacientes tratados.</w:t>
      </w:r>
    </w:p>
    <w:p w14:paraId="3BCAF4C6" w14:textId="77777777" w:rsidR="00D301DB" w:rsidRDefault="00D301DB" w:rsidP="00D301DB">
      <w:pPr>
        <w:autoSpaceDE w:val="0"/>
        <w:autoSpaceDN w:val="0"/>
        <w:adjustRightInd w:val="0"/>
        <w:spacing w:line="240" w:lineRule="auto"/>
        <w:ind w:left="0" w:firstLine="0"/>
        <w:jc w:val="left"/>
        <w:rPr>
          <w:b/>
          <w:sz w:val="24"/>
          <w:szCs w:val="24"/>
        </w:rPr>
      </w:pPr>
      <w:r>
        <w:rPr>
          <w:b/>
          <w:sz w:val="24"/>
          <w:szCs w:val="24"/>
        </w:rPr>
        <w:t>Pacientes con insuficiencia renal crónica</w:t>
      </w:r>
    </w:p>
    <w:p w14:paraId="741D22CC"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Dosis inicial:</w:t>
      </w:r>
      <w:r>
        <w:rPr>
          <w:sz w:val="24"/>
          <w:szCs w:val="24"/>
        </w:rPr>
        <w:t xml:space="preserve"> 50 a 100 UI/kg 3 veces a la semana (adultos); 50 UI/kg 3 veces a la semana (niños en diálisis), vía intravenosa (</w:t>
      </w:r>
      <w:proofErr w:type="spellStart"/>
      <w:r>
        <w:rPr>
          <w:sz w:val="24"/>
          <w:szCs w:val="24"/>
        </w:rPr>
        <w:t>iv</w:t>
      </w:r>
      <w:proofErr w:type="spellEnd"/>
      <w:r>
        <w:rPr>
          <w:sz w:val="24"/>
          <w:szCs w:val="24"/>
        </w:rPr>
        <w:t xml:space="preserve">) </w:t>
      </w:r>
      <w:proofErr w:type="spellStart"/>
      <w:r>
        <w:rPr>
          <w:sz w:val="24"/>
          <w:szCs w:val="24"/>
        </w:rPr>
        <w:t>ó</w:t>
      </w:r>
      <w:proofErr w:type="spellEnd"/>
      <w:r>
        <w:rPr>
          <w:sz w:val="24"/>
          <w:szCs w:val="24"/>
        </w:rPr>
        <w:t xml:space="preserve"> subcutánea (</w:t>
      </w:r>
      <w:proofErr w:type="spellStart"/>
      <w:r>
        <w:rPr>
          <w:sz w:val="24"/>
          <w:szCs w:val="24"/>
        </w:rPr>
        <w:t>sc</w:t>
      </w:r>
      <w:proofErr w:type="spellEnd"/>
      <w:r>
        <w:rPr>
          <w:sz w:val="24"/>
          <w:szCs w:val="24"/>
        </w:rPr>
        <w:t xml:space="preserve">). Es preferible la administración intravenosa en aquellos pacientes en los que el acceso vascular esté habitualmente </w:t>
      </w:r>
      <w:r>
        <w:rPr>
          <w:sz w:val="24"/>
          <w:szCs w:val="24"/>
        </w:rPr>
        <w:lastRenderedPageBreak/>
        <w:t xml:space="preserve">disponible (pacientes en hemodiálisis), dejando la vía subcutánea para el resto de los pacientes (diálisis peritoneal o pacientes en </w:t>
      </w:r>
      <w:proofErr w:type="spellStart"/>
      <w:r>
        <w:rPr>
          <w:sz w:val="24"/>
          <w:szCs w:val="24"/>
        </w:rPr>
        <w:t>pre-diálisis</w:t>
      </w:r>
      <w:proofErr w:type="spellEnd"/>
      <w:r>
        <w:rPr>
          <w:sz w:val="24"/>
          <w:szCs w:val="24"/>
        </w:rPr>
        <w:t>).</w:t>
      </w:r>
    </w:p>
    <w:p w14:paraId="1CCCE845"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Ajuste de dosis</w:t>
      </w:r>
      <w:r>
        <w:rPr>
          <w:sz w:val="24"/>
          <w:szCs w:val="24"/>
        </w:rPr>
        <w:t>: no debe realizarse más de una vez en un mes, si no es clínicamente imprescindible.</w:t>
      </w:r>
    </w:p>
    <w:p w14:paraId="7BF751CA"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Reducir dosis</w:t>
      </w:r>
      <w:r>
        <w:rPr>
          <w:sz w:val="24"/>
          <w:szCs w:val="24"/>
        </w:rPr>
        <w:t>: cuando la hemoglobina se incremente más de 1 g/</w:t>
      </w:r>
      <w:proofErr w:type="spellStart"/>
      <w:r>
        <w:rPr>
          <w:sz w:val="24"/>
          <w:szCs w:val="24"/>
        </w:rPr>
        <w:t>dL</w:t>
      </w:r>
      <w:proofErr w:type="spellEnd"/>
      <w:r>
        <w:rPr>
          <w:sz w:val="24"/>
          <w:szCs w:val="24"/>
        </w:rPr>
        <w:t xml:space="preserve"> en un período de 2 semanas.</w:t>
      </w:r>
    </w:p>
    <w:p w14:paraId="5A09B176"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Incrementar dosis</w:t>
      </w:r>
      <w:r>
        <w:rPr>
          <w:sz w:val="24"/>
          <w:szCs w:val="24"/>
        </w:rPr>
        <w:t>: cuando la hemoglobina no se incremente más de 1 g/</w:t>
      </w:r>
      <w:proofErr w:type="spellStart"/>
      <w:r>
        <w:rPr>
          <w:sz w:val="24"/>
          <w:szCs w:val="24"/>
        </w:rPr>
        <w:t>dL</w:t>
      </w:r>
      <w:proofErr w:type="spellEnd"/>
      <w:r>
        <w:rPr>
          <w:sz w:val="24"/>
          <w:szCs w:val="24"/>
        </w:rPr>
        <w:t xml:space="preserve"> después de 4 semanas de tratamiento.</w:t>
      </w:r>
    </w:p>
    <w:p w14:paraId="40E9D81B"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Dosis de mantenimiento</w:t>
      </w:r>
      <w:r>
        <w:rPr>
          <w:sz w:val="24"/>
          <w:szCs w:val="24"/>
        </w:rPr>
        <w:t>: se individualizará para cada paciente con el fin de disminuir las necesidades de transfusiones.</w:t>
      </w:r>
    </w:p>
    <w:p w14:paraId="66144E49"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Interrupción del tratamiento:</w:t>
      </w:r>
      <w:r>
        <w:rPr>
          <w:sz w:val="24"/>
          <w:szCs w:val="24"/>
        </w:rPr>
        <w:t xml:space="preserve"> aumento de la hemoglobina &gt; 2 g/</w:t>
      </w:r>
      <w:proofErr w:type="spellStart"/>
      <w:r>
        <w:rPr>
          <w:sz w:val="24"/>
          <w:szCs w:val="24"/>
        </w:rPr>
        <w:t>dL</w:t>
      </w:r>
      <w:proofErr w:type="spellEnd"/>
      <w:r>
        <w:rPr>
          <w:sz w:val="24"/>
          <w:szCs w:val="24"/>
        </w:rPr>
        <w:t xml:space="preserve"> al mes o cifras de hemoglobina por encima de 11 g/</w:t>
      </w:r>
      <w:proofErr w:type="spellStart"/>
      <w:r>
        <w:rPr>
          <w:sz w:val="24"/>
          <w:szCs w:val="24"/>
        </w:rPr>
        <w:t>dL</w:t>
      </w:r>
      <w:proofErr w:type="spellEnd"/>
      <w:r>
        <w:rPr>
          <w:sz w:val="24"/>
          <w:szCs w:val="24"/>
        </w:rPr>
        <w:t>.</w:t>
      </w:r>
    </w:p>
    <w:p w14:paraId="340C357D"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Recomendación de suplemento de hierro</w:t>
      </w:r>
      <w:r>
        <w:rPr>
          <w:sz w:val="24"/>
          <w:szCs w:val="24"/>
        </w:rPr>
        <w:t>: bisemanal, por vía intravenosa.</w:t>
      </w:r>
    </w:p>
    <w:p w14:paraId="536CD69F" w14:textId="77777777" w:rsidR="00D301DB" w:rsidRDefault="00D301DB" w:rsidP="00D301DB">
      <w:pPr>
        <w:autoSpaceDE w:val="0"/>
        <w:autoSpaceDN w:val="0"/>
        <w:adjustRightInd w:val="0"/>
        <w:spacing w:line="240" w:lineRule="auto"/>
        <w:ind w:left="0" w:firstLine="0"/>
        <w:jc w:val="left"/>
        <w:rPr>
          <w:sz w:val="24"/>
          <w:szCs w:val="24"/>
        </w:rPr>
      </w:pPr>
      <w:r>
        <w:rPr>
          <w:sz w:val="24"/>
          <w:szCs w:val="24"/>
        </w:rPr>
        <w:t>Respuesta disminuida o retardada: analizar el nivel de reserva de hierro u otra posible etiología de la anemia.</w:t>
      </w:r>
    </w:p>
    <w:p w14:paraId="7CC6193A" w14:textId="77777777" w:rsidR="00D301DB" w:rsidRDefault="00D301DB" w:rsidP="00D301DB">
      <w:pPr>
        <w:autoSpaceDE w:val="0"/>
        <w:autoSpaceDN w:val="0"/>
        <w:adjustRightInd w:val="0"/>
        <w:spacing w:line="240" w:lineRule="auto"/>
        <w:ind w:left="0" w:firstLine="0"/>
        <w:jc w:val="left"/>
        <w:rPr>
          <w:sz w:val="24"/>
          <w:szCs w:val="24"/>
        </w:rPr>
      </w:pPr>
      <w:r>
        <w:rPr>
          <w:b/>
          <w:sz w:val="24"/>
          <w:szCs w:val="24"/>
          <w:lang w:val="es-ES"/>
        </w:rPr>
        <w:t>Posología y modo de uso:</w:t>
      </w:r>
    </w:p>
    <w:p w14:paraId="56C2D256" w14:textId="77777777" w:rsidR="00D301DB" w:rsidRDefault="00D301DB" w:rsidP="00D301DB">
      <w:pPr>
        <w:autoSpaceDE w:val="0"/>
        <w:autoSpaceDN w:val="0"/>
        <w:adjustRightInd w:val="0"/>
        <w:spacing w:line="240" w:lineRule="auto"/>
        <w:ind w:left="0" w:firstLine="0"/>
        <w:jc w:val="left"/>
        <w:rPr>
          <w:b/>
          <w:sz w:val="24"/>
          <w:szCs w:val="24"/>
        </w:rPr>
      </w:pPr>
      <w:r>
        <w:rPr>
          <w:b/>
          <w:sz w:val="24"/>
          <w:szCs w:val="24"/>
        </w:rPr>
        <w:t>Pacientes con SIDA en tratamiento con Zidovudina</w:t>
      </w:r>
    </w:p>
    <w:p w14:paraId="0B0C0849"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Dosis inicial:</w:t>
      </w:r>
      <w:r>
        <w:rPr>
          <w:sz w:val="24"/>
          <w:szCs w:val="24"/>
        </w:rPr>
        <w:t xml:space="preserve"> 100 UI/kg, tres veces por semana durante 8 semanas, si nivel de eritropoyetina endógena es menor que 500 </w:t>
      </w:r>
      <w:proofErr w:type="spellStart"/>
      <w:r>
        <w:rPr>
          <w:sz w:val="24"/>
          <w:szCs w:val="24"/>
        </w:rPr>
        <w:t>mUI</w:t>
      </w:r>
      <w:proofErr w:type="spellEnd"/>
      <w:r>
        <w:rPr>
          <w:sz w:val="24"/>
          <w:szCs w:val="24"/>
        </w:rPr>
        <w:t>/ml y el de zidovudina menor que 4 200 mg semana.</w:t>
      </w:r>
    </w:p>
    <w:p w14:paraId="67A6803B" w14:textId="77777777" w:rsidR="00D301DB" w:rsidRDefault="00D301DB" w:rsidP="00D301DB">
      <w:pPr>
        <w:autoSpaceDE w:val="0"/>
        <w:autoSpaceDN w:val="0"/>
        <w:adjustRightInd w:val="0"/>
        <w:spacing w:line="240" w:lineRule="auto"/>
        <w:ind w:left="0" w:firstLine="0"/>
        <w:rPr>
          <w:sz w:val="24"/>
          <w:szCs w:val="24"/>
        </w:rPr>
      </w:pPr>
      <w:r>
        <w:rPr>
          <w:sz w:val="24"/>
          <w:szCs w:val="24"/>
        </w:rPr>
        <w:t>Ajuste de dosis: no debe realizarse más de una vez en un mes, si no es clínicamente imprescindible.</w:t>
      </w:r>
    </w:p>
    <w:p w14:paraId="79923B9C"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Reducir dosis:</w:t>
      </w:r>
      <w:r>
        <w:rPr>
          <w:sz w:val="24"/>
          <w:szCs w:val="24"/>
        </w:rPr>
        <w:t xml:space="preserve"> cuando la hemoglobina se encuentre cerca de 12 g/</w:t>
      </w:r>
      <w:proofErr w:type="spellStart"/>
      <w:r>
        <w:rPr>
          <w:sz w:val="24"/>
          <w:szCs w:val="24"/>
        </w:rPr>
        <w:t>dL</w:t>
      </w:r>
      <w:proofErr w:type="spellEnd"/>
      <w:r>
        <w:rPr>
          <w:sz w:val="24"/>
          <w:szCs w:val="24"/>
        </w:rPr>
        <w:t xml:space="preserve"> o la hemoglobina se incremente más de 1 g/</w:t>
      </w:r>
      <w:proofErr w:type="spellStart"/>
      <w:r>
        <w:rPr>
          <w:sz w:val="24"/>
          <w:szCs w:val="24"/>
        </w:rPr>
        <w:t>dL</w:t>
      </w:r>
      <w:proofErr w:type="spellEnd"/>
      <w:r>
        <w:rPr>
          <w:sz w:val="24"/>
          <w:szCs w:val="24"/>
        </w:rPr>
        <w:t xml:space="preserve"> en un período de 2 semanas.</w:t>
      </w:r>
    </w:p>
    <w:p w14:paraId="7A05CA40"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Incrementar dosis:</w:t>
      </w:r>
      <w:r>
        <w:rPr>
          <w:sz w:val="24"/>
          <w:szCs w:val="24"/>
        </w:rPr>
        <w:t xml:space="preserve"> cuando la hemoglobina no se incremente después de 8 semanas de terapia, hasta alcanzar los niveles necesarios para disminuir las transfusiones. Incrementar en 50 o 100 UI/kg a intervalos de 4 a 8 semanas, sólo hasta 300 UI/kg.</w:t>
      </w:r>
    </w:p>
    <w:p w14:paraId="4B2CFFBF" w14:textId="77777777" w:rsidR="00D301DB" w:rsidRDefault="00D301DB" w:rsidP="00D301DB">
      <w:pPr>
        <w:autoSpaceDE w:val="0"/>
        <w:autoSpaceDN w:val="0"/>
        <w:adjustRightInd w:val="0"/>
        <w:spacing w:line="240" w:lineRule="auto"/>
        <w:ind w:left="0" w:firstLine="0"/>
        <w:rPr>
          <w:sz w:val="24"/>
          <w:szCs w:val="24"/>
        </w:rPr>
      </w:pPr>
      <w:r>
        <w:rPr>
          <w:sz w:val="24"/>
          <w:szCs w:val="24"/>
        </w:rPr>
        <w:t>Dosis mayores no son recomendadas.</w:t>
      </w:r>
    </w:p>
    <w:p w14:paraId="185C1E07"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Dosis de mantenimiento:</w:t>
      </w:r>
      <w:r>
        <w:rPr>
          <w:sz w:val="24"/>
          <w:szCs w:val="24"/>
        </w:rPr>
        <w:t xml:space="preserve"> se individualizará para cada paciente con el fin de disminuir las necesidades de transfusiones.</w:t>
      </w:r>
    </w:p>
    <w:p w14:paraId="20F8ABA4"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Recomendación de suplemento de hierro:</w:t>
      </w:r>
      <w:r>
        <w:rPr>
          <w:sz w:val="24"/>
          <w:szCs w:val="24"/>
        </w:rPr>
        <w:t xml:space="preserve"> A baja dosis, por vía oral.</w:t>
      </w:r>
    </w:p>
    <w:p w14:paraId="7EDD75C9" w14:textId="77777777" w:rsidR="00D301DB" w:rsidRDefault="00D301DB" w:rsidP="00D301DB">
      <w:pPr>
        <w:autoSpaceDE w:val="0"/>
        <w:autoSpaceDN w:val="0"/>
        <w:adjustRightInd w:val="0"/>
        <w:spacing w:line="240" w:lineRule="auto"/>
        <w:ind w:left="0" w:firstLine="0"/>
        <w:rPr>
          <w:b/>
          <w:sz w:val="24"/>
          <w:szCs w:val="24"/>
        </w:rPr>
      </w:pPr>
      <w:r>
        <w:rPr>
          <w:b/>
          <w:sz w:val="24"/>
          <w:szCs w:val="24"/>
        </w:rPr>
        <w:t>Tratamiento de la anemia en pacientes con cáncer en régimen de quimioterapia</w:t>
      </w:r>
    </w:p>
    <w:p w14:paraId="10FC9D9A" w14:textId="77777777" w:rsidR="00D301DB" w:rsidRDefault="00D301DB" w:rsidP="00D301DB">
      <w:pPr>
        <w:autoSpaceDE w:val="0"/>
        <w:autoSpaceDN w:val="0"/>
        <w:adjustRightInd w:val="0"/>
        <w:spacing w:line="240" w:lineRule="auto"/>
        <w:ind w:left="0" w:firstLine="0"/>
        <w:rPr>
          <w:sz w:val="24"/>
          <w:szCs w:val="24"/>
          <w:u w:val="single"/>
        </w:rPr>
      </w:pPr>
      <w:r>
        <w:rPr>
          <w:sz w:val="24"/>
          <w:szCs w:val="24"/>
          <w:u w:val="single"/>
        </w:rPr>
        <w:t>Dosis inicial:</w:t>
      </w:r>
    </w:p>
    <w:p w14:paraId="4636E0E8" w14:textId="77777777" w:rsidR="00D301DB" w:rsidRDefault="00D301DB" w:rsidP="00D301DB">
      <w:pPr>
        <w:autoSpaceDE w:val="0"/>
        <w:autoSpaceDN w:val="0"/>
        <w:adjustRightInd w:val="0"/>
        <w:spacing w:line="240" w:lineRule="auto"/>
        <w:ind w:left="0" w:firstLine="0"/>
        <w:rPr>
          <w:sz w:val="24"/>
          <w:szCs w:val="24"/>
        </w:rPr>
      </w:pPr>
      <w:r>
        <w:rPr>
          <w:sz w:val="24"/>
          <w:szCs w:val="24"/>
        </w:rPr>
        <w:t>Uso Adultos: 150 UI/kg/dosis 3 veces a la semana o 40 000 UI</w:t>
      </w:r>
    </w:p>
    <w:p w14:paraId="425EF474"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semanal, vía intravenosa </w:t>
      </w:r>
      <w:proofErr w:type="spellStart"/>
      <w:r>
        <w:rPr>
          <w:sz w:val="24"/>
          <w:szCs w:val="24"/>
        </w:rPr>
        <w:t>ó</w:t>
      </w:r>
      <w:proofErr w:type="spellEnd"/>
      <w:r>
        <w:rPr>
          <w:sz w:val="24"/>
          <w:szCs w:val="24"/>
        </w:rPr>
        <w:t xml:space="preserve"> subcutánea hasta completar el curso de la quimioterapia (4 a 8 semanas).</w:t>
      </w:r>
    </w:p>
    <w:p w14:paraId="4FD4ED9E" w14:textId="77777777" w:rsidR="00D301DB" w:rsidRDefault="00D301DB" w:rsidP="00D301DB">
      <w:pPr>
        <w:autoSpaceDE w:val="0"/>
        <w:autoSpaceDN w:val="0"/>
        <w:adjustRightInd w:val="0"/>
        <w:spacing w:line="240" w:lineRule="auto"/>
        <w:ind w:left="0" w:firstLine="0"/>
        <w:rPr>
          <w:sz w:val="24"/>
          <w:szCs w:val="24"/>
        </w:rPr>
      </w:pPr>
      <w:r>
        <w:rPr>
          <w:sz w:val="24"/>
          <w:szCs w:val="24"/>
        </w:rPr>
        <w:t xml:space="preserve">Uso Pediátrico: 600 UI/kg/ semanal intravenosa </w:t>
      </w:r>
      <w:proofErr w:type="spellStart"/>
      <w:r>
        <w:rPr>
          <w:sz w:val="24"/>
          <w:szCs w:val="24"/>
        </w:rPr>
        <w:t>ó</w:t>
      </w:r>
      <w:proofErr w:type="spellEnd"/>
      <w:r>
        <w:rPr>
          <w:sz w:val="24"/>
          <w:szCs w:val="24"/>
        </w:rPr>
        <w:t xml:space="preserve"> 150 UI/kg 3 veces a la semana, vía intravenosa </w:t>
      </w:r>
      <w:proofErr w:type="spellStart"/>
      <w:r>
        <w:rPr>
          <w:sz w:val="24"/>
          <w:szCs w:val="24"/>
        </w:rPr>
        <w:t>ó</w:t>
      </w:r>
      <w:proofErr w:type="spellEnd"/>
      <w:r>
        <w:rPr>
          <w:sz w:val="24"/>
          <w:szCs w:val="24"/>
        </w:rPr>
        <w:t xml:space="preserve"> subcutánea, hasta completar el curso de la quimioterapia (4 a 8 semanas).</w:t>
      </w:r>
    </w:p>
    <w:p w14:paraId="36AC9A52" w14:textId="77777777" w:rsidR="00D301DB" w:rsidRDefault="00D301DB" w:rsidP="00D301DB">
      <w:pPr>
        <w:autoSpaceDE w:val="0"/>
        <w:autoSpaceDN w:val="0"/>
        <w:adjustRightInd w:val="0"/>
        <w:spacing w:line="240" w:lineRule="auto"/>
        <w:ind w:left="0" w:firstLine="0"/>
        <w:rPr>
          <w:sz w:val="24"/>
          <w:szCs w:val="24"/>
          <w:u w:val="single"/>
        </w:rPr>
      </w:pPr>
      <w:r>
        <w:rPr>
          <w:sz w:val="24"/>
          <w:szCs w:val="24"/>
          <w:u w:val="single"/>
        </w:rPr>
        <w:t>Incrementar dosis cuando:</w:t>
      </w:r>
    </w:p>
    <w:p w14:paraId="16A9000D" w14:textId="77777777" w:rsidR="00D301DB" w:rsidRDefault="00D301DB" w:rsidP="00D301DB">
      <w:pPr>
        <w:autoSpaceDE w:val="0"/>
        <w:autoSpaceDN w:val="0"/>
        <w:adjustRightInd w:val="0"/>
        <w:spacing w:line="240" w:lineRule="auto"/>
        <w:ind w:left="0" w:firstLine="0"/>
        <w:rPr>
          <w:sz w:val="24"/>
          <w:szCs w:val="24"/>
        </w:rPr>
      </w:pPr>
      <w:r>
        <w:rPr>
          <w:sz w:val="24"/>
          <w:szCs w:val="24"/>
        </w:rPr>
        <w:t>Uso Adultos: escalado de dosis a 20 000 UI/dosis (300 UI/kg/dosis), 3 veces a la semana, hasta completar las 8 semanas. Sólo si al cabo de 4 semanas de tratamiento la hemoglobina se ha incrementado menos de 1 g/dl y permanece por debajo de 10 g/</w:t>
      </w:r>
      <w:proofErr w:type="spellStart"/>
      <w:r>
        <w:rPr>
          <w:sz w:val="24"/>
          <w:szCs w:val="24"/>
        </w:rPr>
        <w:t>dL</w:t>
      </w:r>
      <w:proofErr w:type="spellEnd"/>
      <w:r>
        <w:rPr>
          <w:sz w:val="24"/>
          <w:szCs w:val="24"/>
        </w:rPr>
        <w:t>.</w:t>
      </w:r>
    </w:p>
    <w:p w14:paraId="6C73B867" w14:textId="77777777" w:rsidR="00D301DB" w:rsidRDefault="00D301DB" w:rsidP="00D301DB">
      <w:pPr>
        <w:autoSpaceDE w:val="0"/>
        <w:autoSpaceDN w:val="0"/>
        <w:adjustRightInd w:val="0"/>
        <w:spacing w:line="240" w:lineRule="auto"/>
        <w:ind w:left="0" w:firstLine="0"/>
        <w:rPr>
          <w:sz w:val="24"/>
          <w:szCs w:val="24"/>
        </w:rPr>
      </w:pPr>
      <w:r>
        <w:rPr>
          <w:sz w:val="24"/>
          <w:szCs w:val="24"/>
        </w:rPr>
        <w:t>Uso pediátrico: incremento hasta 900 UI/kg IV o 300 UI/kg, subcutánea, 3 veces a la semana, si el valor de hemoglobina no se incrementa al menos hasta 10 g/L a las 4 semanas de tratamiento</w:t>
      </w:r>
    </w:p>
    <w:p w14:paraId="2E7644C6" w14:textId="77777777" w:rsidR="00D301DB" w:rsidRDefault="00D301DB" w:rsidP="00D301DB">
      <w:pPr>
        <w:autoSpaceDE w:val="0"/>
        <w:autoSpaceDN w:val="0"/>
        <w:adjustRightInd w:val="0"/>
        <w:spacing w:line="240" w:lineRule="auto"/>
        <w:ind w:left="0" w:firstLine="0"/>
        <w:rPr>
          <w:sz w:val="24"/>
          <w:szCs w:val="24"/>
        </w:rPr>
      </w:pPr>
      <w:r>
        <w:rPr>
          <w:sz w:val="24"/>
          <w:szCs w:val="24"/>
        </w:rPr>
        <w:t>según el valor de la hemoglobina basal.</w:t>
      </w:r>
    </w:p>
    <w:p w14:paraId="0A39356D"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lastRenderedPageBreak/>
        <w:t>Interrupción del tratamiento</w:t>
      </w:r>
      <w:r>
        <w:rPr>
          <w:sz w:val="24"/>
          <w:szCs w:val="24"/>
        </w:rPr>
        <w:t>: si los niveles de hemoglobina exceden los niveles necesarios para evitar transfusiones, o si al cabo de las 8 semanas de tratamiento no hay respuesta al tratamiento medida por los niveles de hemoglobina, o si se requiere transfusión.</w:t>
      </w:r>
    </w:p>
    <w:p w14:paraId="4FC353BD" w14:textId="77777777" w:rsidR="00D301DB" w:rsidRDefault="00D301DB" w:rsidP="00D301DB">
      <w:pPr>
        <w:autoSpaceDE w:val="0"/>
        <w:autoSpaceDN w:val="0"/>
        <w:adjustRightInd w:val="0"/>
        <w:spacing w:line="240" w:lineRule="auto"/>
        <w:ind w:left="0" w:firstLine="0"/>
        <w:rPr>
          <w:sz w:val="24"/>
          <w:szCs w:val="24"/>
          <w:u w:val="single"/>
        </w:rPr>
      </w:pPr>
      <w:r>
        <w:rPr>
          <w:sz w:val="24"/>
          <w:szCs w:val="24"/>
          <w:u w:val="single"/>
        </w:rPr>
        <w:t>Recomendación de suplemento de hierro concomitante con Eritropoyetina:</w:t>
      </w:r>
    </w:p>
    <w:p w14:paraId="13705BE5" w14:textId="77777777" w:rsidR="00D301DB" w:rsidRDefault="00D301DB" w:rsidP="00D301DB">
      <w:pPr>
        <w:autoSpaceDE w:val="0"/>
        <w:autoSpaceDN w:val="0"/>
        <w:adjustRightInd w:val="0"/>
        <w:spacing w:line="240" w:lineRule="auto"/>
        <w:ind w:left="0" w:firstLine="0"/>
        <w:rPr>
          <w:sz w:val="24"/>
          <w:szCs w:val="24"/>
        </w:rPr>
      </w:pPr>
      <w:r>
        <w:rPr>
          <w:sz w:val="24"/>
          <w:szCs w:val="24"/>
        </w:rPr>
        <w:t>Adultos: bisemanal, por vía oral</w:t>
      </w:r>
    </w:p>
    <w:p w14:paraId="588218B0" w14:textId="77777777" w:rsidR="00D301DB" w:rsidRDefault="00D301DB" w:rsidP="00D301DB">
      <w:pPr>
        <w:autoSpaceDE w:val="0"/>
        <w:autoSpaceDN w:val="0"/>
        <w:adjustRightInd w:val="0"/>
        <w:spacing w:line="240" w:lineRule="auto"/>
        <w:ind w:left="0" w:firstLine="0"/>
        <w:rPr>
          <w:sz w:val="24"/>
          <w:szCs w:val="24"/>
        </w:rPr>
      </w:pPr>
      <w:r>
        <w:rPr>
          <w:sz w:val="24"/>
          <w:szCs w:val="24"/>
        </w:rPr>
        <w:t>Pediátrico: dosis oral entre 3-6 mg/kg diario, durante las 8 semanas de tratamiento.</w:t>
      </w:r>
    </w:p>
    <w:p w14:paraId="4FA0F862" w14:textId="77777777" w:rsidR="00D301DB" w:rsidRDefault="00D301DB" w:rsidP="00D301DB">
      <w:pPr>
        <w:autoSpaceDE w:val="0"/>
        <w:autoSpaceDN w:val="0"/>
        <w:adjustRightInd w:val="0"/>
        <w:spacing w:line="240" w:lineRule="auto"/>
        <w:ind w:left="0" w:firstLine="0"/>
        <w:jc w:val="left"/>
        <w:rPr>
          <w:sz w:val="24"/>
          <w:szCs w:val="24"/>
        </w:rPr>
      </w:pPr>
      <w:r>
        <w:rPr>
          <w:b/>
          <w:sz w:val="24"/>
          <w:szCs w:val="24"/>
          <w:lang w:val="es-ES"/>
        </w:rPr>
        <w:t>Posología y modo de uso:</w:t>
      </w:r>
    </w:p>
    <w:p w14:paraId="6D65B452" w14:textId="77777777" w:rsidR="00D301DB" w:rsidRDefault="00D301DB" w:rsidP="00D301DB">
      <w:pPr>
        <w:autoSpaceDE w:val="0"/>
        <w:autoSpaceDN w:val="0"/>
        <w:adjustRightInd w:val="0"/>
        <w:spacing w:line="240" w:lineRule="auto"/>
        <w:ind w:left="0" w:firstLine="0"/>
        <w:rPr>
          <w:b/>
          <w:sz w:val="24"/>
          <w:szCs w:val="24"/>
        </w:rPr>
      </w:pPr>
      <w:r>
        <w:rPr>
          <w:b/>
          <w:sz w:val="24"/>
          <w:szCs w:val="24"/>
        </w:rPr>
        <w:t xml:space="preserve">Pacientes recién nacidos </w:t>
      </w:r>
      <w:proofErr w:type="spellStart"/>
      <w:r>
        <w:rPr>
          <w:b/>
          <w:sz w:val="24"/>
          <w:szCs w:val="24"/>
        </w:rPr>
        <w:t>pre-términos</w:t>
      </w:r>
      <w:proofErr w:type="spellEnd"/>
      <w:r>
        <w:rPr>
          <w:b/>
          <w:sz w:val="24"/>
          <w:szCs w:val="24"/>
        </w:rPr>
        <w:t xml:space="preserve"> de muy </w:t>
      </w:r>
      <w:proofErr w:type="gramStart"/>
      <w:r>
        <w:rPr>
          <w:b/>
          <w:sz w:val="24"/>
          <w:szCs w:val="24"/>
        </w:rPr>
        <w:t>bajo</w:t>
      </w:r>
      <w:proofErr w:type="gramEnd"/>
      <w:r>
        <w:rPr>
          <w:b/>
          <w:sz w:val="24"/>
          <w:szCs w:val="24"/>
        </w:rPr>
        <w:t xml:space="preserve"> pero al nacer</w:t>
      </w:r>
    </w:p>
    <w:p w14:paraId="71C39D21" w14:textId="77777777" w:rsidR="00D301DB" w:rsidRDefault="00D301DB" w:rsidP="00D301DB">
      <w:pPr>
        <w:autoSpaceDE w:val="0"/>
        <w:autoSpaceDN w:val="0"/>
        <w:adjustRightInd w:val="0"/>
        <w:spacing w:line="240" w:lineRule="auto"/>
        <w:ind w:left="0" w:firstLine="0"/>
        <w:rPr>
          <w:sz w:val="24"/>
          <w:szCs w:val="24"/>
        </w:rPr>
      </w:pPr>
      <w:r>
        <w:rPr>
          <w:sz w:val="24"/>
          <w:szCs w:val="24"/>
          <w:u w:val="single"/>
        </w:rPr>
        <w:t>Dosis inicial:</w:t>
      </w:r>
      <w:r>
        <w:rPr>
          <w:sz w:val="24"/>
          <w:szCs w:val="24"/>
        </w:rPr>
        <w:t xml:space="preserve"> A partir de los 7- 15 días de vida si presenta una ingesta de al menos 50 </w:t>
      </w:r>
      <w:proofErr w:type="spellStart"/>
      <w:r>
        <w:rPr>
          <w:sz w:val="24"/>
          <w:szCs w:val="24"/>
        </w:rPr>
        <w:t>mL</w:t>
      </w:r>
      <w:proofErr w:type="spellEnd"/>
      <w:r>
        <w:rPr>
          <w:sz w:val="24"/>
          <w:szCs w:val="24"/>
        </w:rPr>
        <w:t>/kg/día, 900 U/kg/semanal. (300 UI/Kg/ 3 veces por semana), por vía subcutánea, hasta 40 semanas de edad gestacional corregida o hasta el egreso.</w:t>
      </w:r>
    </w:p>
    <w:p w14:paraId="786FF831" w14:textId="7D08D1B4" w:rsidR="00D301DB" w:rsidRDefault="00D301DB" w:rsidP="00D301DB">
      <w:pPr>
        <w:autoSpaceDE w:val="0"/>
        <w:autoSpaceDN w:val="0"/>
        <w:adjustRightInd w:val="0"/>
        <w:spacing w:line="240" w:lineRule="auto"/>
        <w:ind w:left="0" w:firstLine="0"/>
        <w:rPr>
          <w:sz w:val="24"/>
          <w:szCs w:val="24"/>
        </w:rPr>
      </w:pPr>
      <w:r>
        <w:rPr>
          <w:sz w:val="24"/>
          <w:szCs w:val="24"/>
          <w:u w:val="single"/>
        </w:rPr>
        <w:t>Recomendación de suplemento de hierro y vitaminas concomitante con</w:t>
      </w:r>
      <w:r>
        <w:rPr>
          <w:sz w:val="24"/>
          <w:szCs w:val="24"/>
        </w:rPr>
        <w:t xml:space="preserve"> Eritropoyetina Humana Recombinante 4000 UI/1mL </w:t>
      </w:r>
      <w:proofErr w:type="spellStart"/>
      <w:r>
        <w:rPr>
          <w:sz w:val="24"/>
          <w:szCs w:val="24"/>
        </w:rPr>
        <w:t>Quimfa</w:t>
      </w:r>
      <w:proofErr w:type="spellEnd"/>
      <w:r>
        <w:rPr>
          <w:sz w:val="24"/>
          <w:szCs w:val="24"/>
        </w:rPr>
        <w:t>: Asociar suplemento de hierro, comenzando por 4 mg/kg e ir incrementando la dosis hasta alcanzar los 6 mg/kg/día y suplemento vitamínico incluyendo vitamina E, cobre y folato.</w:t>
      </w:r>
    </w:p>
    <w:p w14:paraId="5661E05F" w14:textId="77777777" w:rsidR="00D301DB" w:rsidRDefault="00D301DB" w:rsidP="00D301DB">
      <w:pPr>
        <w:autoSpaceDE w:val="0"/>
        <w:autoSpaceDN w:val="0"/>
        <w:adjustRightInd w:val="0"/>
        <w:spacing w:line="240" w:lineRule="auto"/>
        <w:ind w:left="0" w:firstLine="0"/>
        <w:rPr>
          <w:sz w:val="24"/>
          <w:szCs w:val="24"/>
        </w:rPr>
      </w:pPr>
    </w:p>
    <w:p w14:paraId="1DAC263E" w14:textId="317F55BC" w:rsidR="00D301DB" w:rsidRPr="00D301DB" w:rsidRDefault="00D301DB" w:rsidP="00D301DB">
      <w:pPr>
        <w:autoSpaceDE w:val="0"/>
        <w:autoSpaceDN w:val="0"/>
        <w:adjustRightInd w:val="0"/>
        <w:spacing w:line="240" w:lineRule="auto"/>
        <w:ind w:left="0" w:firstLine="0"/>
        <w:rPr>
          <w:b/>
          <w:bCs/>
          <w:sz w:val="24"/>
          <w:szCs w:val="24"/>
        </w:rPr>
      </w:pPr>
      <w:proofErr w:type="spellStart"/>
      <w:r w:rsidRPr="00D301DB">
        <w:rPr>
          <w:b/>
          <w:bCs/>
          <w:sz w:val="24"/>
          <w:szCs w:val="24"/>
        </w:rPr>
        <w:t>Presentacion</w:t>
      </w:r>
      <w:proofErr w:type="spellEnd"/>
      <w:r w:rsidRPr="00D301DB">
        <w:rPr>
          <w:b/>
          <w:bCs/>
          <w:sz w:val="24"/>
          <w:szCs w:val="24"/>
        </w:rPr>
        <w:t>:</w:t>
      </w:r>
    </w:p>
    <w:p w14:paraId="6B9D2562" w14:textId="77777777" w:rsidR="00D301DB" w:rsidRDefault="00D301DB" w:rsidP="00D301DB">
      <w:pPr>
        <w:rPr>
          <w:rFonts w:ascii="Arial" w:hAnsi="Arial" w:cs="Arial"/>
        </w:rPr>
      </w:pPr>
      <w:r>
        <w:rPr>
          <w:rFonts w:ascii="Arial" w:hAnsi="Arial" w:cs="Arial"/>
          <w:b/>
        </w:rPr>
        <w:t xml:space="preserve">* </w:t>
      </w:r>
      <w:r>
        <w:rPr>
          <w:rFonts w:ascii="Arial" w:hAnsi="Arial" w:cs="Arial"/>
        </w:rPr>
        <w:t>Caja conteniendo 1 vial</w:t>
      </w:r>
    </w:p>
    <w:p w14:paraId="06B00B9A" w14:textId="77777777" w:rsidR="00D301DB" w:rsidRDefault="00D301DB" w:rsidP="00D301DB">
      <w:pPr>
        <w:rPr>
          <w:rFonts w:asciiTheme="minorHAnsi" w:hAnsiTheme="minorHAnsi" w:cs="Arial"/>
          <w:sz w:val="24"/>
          <w:szCs w:val="24"/>
        </w:rPr>
      </w:pPr>
      <w:r>
        <w:rPr>
          <w:rFonts w:ascii="Arial" w:hAnsi="Arial" w:cs="Arial"/>
          <w:b/>
        </w:rPr>
        <w:t xml:space="preserve">* </w:t>
      </w:r>
      <w:r>
        <w:rPr>
          <w:rFonts w:ascii="Arial" w:hAnsi="Arial" w:cs="Arial"/>
        </w:rPr>
        <w:t>Caja conteniendo 10 viales</w:t>
      </w:r>
    </w:p>
    <w:p w14:paraId="2AB9D51C" w14:textId="77777777" w:rsidR="00D301DB" w:rsidRPr="007C36BC" w:rsidRDefault="00D301DB" w:rsidP="00D301DB">
      <w:pPr>
        <w:rPr>
          <w:rFonts w:asciiTheme="minorHAnsi" w:hAnsiTheme="minorHAnsi" w:cs="Arial"/>
          <w:b/>
          <w:sz w:val="24"/>
          <w:szCs w:val="24"/>
        </w:rPr>
      </w:pPr>
      <w:r w:rsidRPr="007C36BC">
        <w:rPr>
          <w:rFonts w:asciiTheme="minorHAnsi" w:hAnsiTheme="minorHAnsi" w:cs="Arial"/>
          <w:b/>
          <w:sz w:val="24"/>
          <w:szCs w:val="24"/>
        </w:rPr>
        <w:t xml:space="preserve">Vía de Administración: </w:t>
      </w:r>
      <w:r w:rsidRPr="007C36BC">
        <w:rPr>
          <w:rFonts w:asciiTheme="minorHAnsi" w:hAnsiTheme="minorHAnsi" w:cs="Arial"/>
          <w:sz w:val="24"/>
          <w:szCs w:val="24"/>
        </w:rPr>
        <w:t xml:space="preserve"> </w:t>
      </w:r>
      <w:r>
        <w:rPr>
          <w:rFonts w:asciiTheme="minorHAnsi" w:hAnsiTheme="minorHAnsi" w:cs="Arial"/>
          <w:sz w:val="24"/>
          <w:szCs w:val="24"/>
        </w:rPr>
        <w:t xml:space="preserve">SC </w:t>
      </w:r>
      <w:proofErr w:type="spellStart"/>
      <w:r>
        <w:rPr>
          <w:rFonts w:asciiTheme="minorHAnsi" w:hAnsiTheme="minorHAnsi" w:cs="Arial"/>
          <w:sz w:val="24"/>
          <w:szCs w:val="24"/>
        </w:rPr>
        <w:t>ó</w:t>
      </w:r>
      <w:proofErr w:type="spellEnd"/>
      <w:r>
        <w:rPr>
          <w:rFonts w:asciiTheme="minorHAnsi" w:hAnsiTheme="minorHAnsi" w:cs="Arial"/>
          <w:sz w:val="24"/>
          <w:szCs w:val="24"/>
        </w:rPr>
        <w:t xml:space="preserve"> IV</w:t>
      </w:r>
    </w:p>
    <w:p w14:paraId="0EDA668F" w14:textId="77777777" w:rsidR="00D301DB" w:rsidRDefault="00D301DB" w:rsidP="00D301DB">
      <w:pPr>
        <w:autoSpaceDE w:val="0"/>
        <w:autoSpaceDN w:val="0"/>
        <w:adjustRightInd w:val="0"/>
        <w:spacing w:line="240" w:lineRule="auto"/>
        <w:ind w:left="0" w:firstLine="0"/>
        <w:rPr>
          <w:sz w:val="24"/>
          <w:szCs w:val="24"/>
        </w:rPr>
      </w:pPr>
    </w:p>
    <w:p w14:paraId="3037D79A" w14:textId="6957069C" w:rsidR="00D301DB" w:rsidRDefault="00D301DB" w:rsidP="00D301DB">
      <w:pPr>
        <w:autoSpaceDE w:val="0"/>
        <w:autoSpaceDN w:val="0"/>
        <w:adjustRightInd w:val="0"/>
        <w:spacing w:line="240" w:lineRule="auto"/>
        <w:ind w:left="0" w:firstLine="0"/>
        <w:rPr>
          <w:sz w:val="24"/>
          <w:szCs w:val="24"/>
        </w:rPr>
      </w:pPr>
    </w:p>
    <w:p w14:paraId="49A3D8DC" w14:textId="77777777" w:rsidR="00D301DB" w:rsidRPr="00D301DB" w:rsidRDefault="00D301DB" w:rsidP="00D301DB">
      <w:pPr>
        <w:spacing w:line="240" w:lineRule="auto"/>
        <w:rPr>
          <w:rFonts w:asciiTheme="minorHAnsi" w:hAnsiTheme="minorHAnsi"/>
          <w:color w:val="000000"/>
          <w:sz w:val="24"/>
          <w:szCs w:val="24"/>
        </w:rPr>
      </w:pPr>
      <w:r w:rsidRPr="00D301DB">
        <w:rPr>
          <w:rFonts w:asciiTheme="minorHAnsi" w:hAnsiTheme="minorHAnsi"/>
          <w:color w:val="000000"/>
          <w:sz w:val="24"/>
          <w:szCs w:val="24"/>
        </w:rPr>
        <w:t xml:space="preserve">Elaborado </w:t>
      </w:r>
      <w:proofErr w:type="gramStart"/>
      <w:r w:rsidRPr="00D301DB">
        <w:rPr>
          <w:rFonts w:asciiTheme="minorHAnsi" w:hAnsiTheme="minorHAnsi"/>
          <w:color w:val="000000"/>
          <w:sz w:val="24"/>
          <w:szCs w:val="24"/>
        </w:rPr>
        <w:t>por :</w:t>
      </w:r>
      <w:proofErr w:type="gramEnd"/>
      <w:r w:rsidRPr="00D301DB">
        <w:rPr>
          <w:rFonts w:asciiTheme="minorHAnsi" w:hAnsiTheme="minorHAnsi"/>
          <w:color w:val="000000"/>
          <w:sz w:val="24"/>
          <w:szCs w:val="24"/>
        </w:rPr>
        <w:t xml:space="preserve"> Centro de Inmunología Molecular (CIM)</w:t>
      </w:r>
    </w:p>
    <w:p w14:paraId="2DC359A6" w14:textId="77777777" w:rsidR="00D301DB" w:rsidRPr="00D301DB" w:rsidRDefault="00D301DB" w:rsidP="00D301DB">
      <w:pPr>
        <w:spacing w:line="240" w:lineRule="auto"/>
        <w:rPr>
          <w:rFonts w:asciiTheme="minorHAnsi" w:hAnsiTheme="minorHAnsi"/>
          <w:color w:val="000000"/>
          <w:sz w:val="24"/>
          <w:szCs w:val="24"/>
        </w:rPr>
      </w:pPr>
      <w:r w:rsidRPr="00D301DB">
        <w:rPr>
          <w:rFonts w:asciiTheme="minorHAnsi" w:hAnsiTheme="minorHAnsi"/>
          <w:color w:val="000000"/>
          <w:sz w:val="24"/>
          <w:szCs w:val="24"/>
        </w:rPr>
        <w:t xml:space="preserve">Calle 216, esq. a 15, </w:t>
      </w:r>
      <w:proofErr w:type="spellStart"/>
      <w:r w:rsidRPr="00D301DB">
        <w:rPr>
          <w:rFonts w:asciiTheme="minorHAnsi" w:hAnsiTheme="minorHAnsi"/>
          <w:color w:val="000000"/>
          <w:sz w:val="24"/>
          <w:szCs w:val="24"/>
        </w:rPr>
        <w:t>Atabey</w:t>
      </w:r>
      <w:proofErr w:type="spellEnd"/>
      <w:r w:rsidRPr="00D301DB">
        <w:rPr>
          <w:rFonts w:asciiTheme="minorHAnsi" w:hAnsiTheme="minorHAnsi"/>
          <w:color w:val="000000"/>
          <w:sz w:val="24"/>
          <w:szCs w:val="24"/>
        </w:rPr>
        <w:t>, Playa, La Habana, Cuba</w:t>
      </w:r>
    </w:p>
    <w:p w14:paraId="3A52F418" w14:textId="77777777" w:rsidR="00D301DB" w:rsidRPr="00D301DB" w:rsidRDefault="00D301DB" w:rsidP="00D301DB">
      <w:pPr>
        <w:spacing w:line="240" w:lineRule="auto"/>
        <w:rPr>
          <w:rFonts w:asciiTheme="minorHAnsi" w:hAnsiTheme="minorHAnsi"/>
          <w:color w:val="000000"/>
          <w:sz w:val="24"/>
          <w:szCs w:val="24"/>
        </w:rPr>
      </w:pPr>
      <w:proofErr w:type="gramStart"/>
      <w:r w:rsidRPr="00D301DB">
        <w:rPr>
          <w:rFonts w:asciiTheme="minorHAnsi" w:hAnsiTheme="minorHAnsi"/>
          <w:color w:val="000000"/>
          <w:sz w:val="24"/>
          <w:szCs w:val="24"/>
        </w:rPr>
        <w:t>Para :</w:t>
      </w:r>
      <w:proofErr w:type="gramEnd"/>
      <w:r w:rsidRPr="00D301DB">
        <w:rPr>
          <w:rFonts w:asciiTheme="minorHAnsi" w:hAnsiTheme="minorHAnsi"/>
          <w:color w:val="000000"/>
          <w:sz w:val="24"/>
          <w:szCs w:val="24"/>
        </w:rPr>
        <w:t xml:space="preserve"> Sociedad Mercantil CIMAB S.A. </w:t>
      </w:r>
    </w:p>
    <w:p w14:paraId="1B6B1ECD" w14:textId="77777777" w:rsidR="00D301DB" w:rsidRPr="00D301DB" w:rsidRDefault="00D301DB" w:rsidP="00D301DB">
      <w:pPr>
        <w:spacing w:line="240" w:lineRule="auto"/>
        <w:rPr>
          <w:rFonts w:asciiTheme="minorHAnsi" w:hAnsiTheme="minorHAnsi"/>
          <w:color w:val="000000"/>
          <w:sz w:val="24"/>
          <w:szCs w:val="24"/>
        </w:rPr>
      </w:pPr>
      <w:r w:rsidRPr="00D301DB">
        <w:rPr>
          <w:rFonts w:asciiTheme="minorHAnsi" w:hAnsiTheme="minorHAnsi"/>
          <w:color w:val="000000"/>
          <w:sz w:val="24"/>
          <w:szCs w:val="24"/>
        </w:rPr>
        <w:t xml:space="preserve">Calle 206 </w:t>
      </w:r>
      <w:proofErr w:type="spellStart"/>
      <w:r w:rsidRPr="00D301DB">
        <w:rPr>
          <w:rFonts w:asciiTheme="minorHAnsi" w:hAnsiTheme="minorHAnsi"/>
          <w:color w:val="000000"/>
          <w:sz w:val="24"/>
          <w:szCs w:val="24"/>
        </w:rPr>
        <w:t>Nº</w:t>
      </w:r>
      <w:proofErr w:type="spellEnd"/>
      <w:r w:rsidRPr="00D301DB">
        <w:rPr>
          <w:rFonts w:asciiTheme="minorHAnsi" w:hAnsiTheme="minorHAnsi"/>
          <w:color w:val="000000"/>
          <w:sz w:val="24"/>
          <w:szCs w:val="24"/>
        </w:rPr>
        <w:t xml:space="preserve"> 1926, entre 19 y 21, Municipio Playa, La Habana, Cuba</w:t>
      </w:r>
    </w:p>
    <w:p w14:paraId="77896F64" w14:textId="77777777" w:rsidR="00D301DB" w:rsidRPr="00D301DB" w:rsidRDefault="00D301DB" w:rsidP="00D301DB">
      <w:pPr>
        <w:spacing w:line="240" w:lineRule="auto"/>
        <w:rPr>
          <w:rFonts w:asciiTheme="minorHAnsi" w:hAnsiTheme="minorHAnsi"/>
          <w:color w:val="000000"/>
          <w:sz w:val="24"/>
          <w:szCs w:val="24"/>
        </w:rPr>
      </w:pPr>
      <w:proofErr w:type="gramStart"/>
      <w:r w:rsidRPr="00D301DB">
        <w:rPr>
          <w:rFonts w:asciiTheme="minorHAnsi" w:hAnsiTheme="minorHAnsi"/>
          <w:color w:val="000000"/>
          <w:sz w:val="24"/>
          <w:szCs w:val="24"/>
        </w:rPr>
        <w:t>Para :</w:t>
      </w:r>
      <w:proofErr w:type="gramEnd"/>
      <w:r w:rsidRPr="00D301DB">
        <w:rPr>
          <w:rFonts w:asciiTheme="minorHAnsi" w:hAnsiTheme="minorHAnsi"/>
          <w:color w:val="000000"/>
          <w:sz w:val="24"/>
          <w:szCs w:val="24"/>
        </w:rPr>
        <w:t xml:space="preserve"> QUIMFA S.A. </w:t>
      </w:r>
    </w:p>
    <w:p w14:paraId="6E83561F" w14:textId="77777777" w:rsidR="00D301DB" w:rsidRPr="00D301DB" w:rsidRDefault="00D301DB" w:rsidP="00D301DB">
      <w:pPr>
        <w:spacing w:line="240" w:lineRule="auto"/>
        <w:rPr>
          <w:rFonts w:asciiTheme="minorHAnsi" w:hAnsiTheme="minorHAnsi"/>
          <w:color w:val="000000"/>
          <w:sz w:val="24"/>
          <w:szCs w:val="24"/>
        </w:rPr>
      </w:pPr>
      <w:r w:rsidRPr="00D301DB">
        <w:rPr>
          <w:rFonts w:asciiTheme="minorHAnsi" w:hAnsiTheme="minorHAnsi"/>
          <w:color w:val="000000"/>
          <w:sz w:val="24"/>
          <w:szCs w:val="24"/>
        </w:rPr>
        <w:t xml:space="preserve">Avda. Primer presidente c/ </w:t>
      </w:r>
      <w:proofErr w:type="spellStart"/>
      <w:r w:rsidRPr="00D301DB">
        <w:rPr>
          <w:rFonts w:asciiTheme="minorHAnsi" w:hAnsiTheme="minorHAnsi"/>
          <w:color w:val="000000"/>
          <w:sz w:val="24"/>
          <w:szCs w:val="24"/>
        </w:rPr>
        <w:t>Yrendague</w:t>
      </w:r>
      <w:proofErr w:type="spellEnd"/>
      <w:r w:rsidRPr="00D301DB">
        <w:rPr>
          <w:rFonts w:asciiTheme="minorHAnsi" w:hAnsiTheme="minorHAnsi"/>
          <w:color w:val="000000"/>
          <w:sz w:val="24"/>
          <w:szCs w:val="24"/>
        </w:rPr>
        <w:t xml:space="preserve"> Asunción - Paraguay</w:t>
      </w:r>
    </w:p>
    <w:p w14:paraId="3F8BDAC6" w14:textId="77777777" w:rsidR="00D301DB" w:rsidRPr="00D301DB" w:rsidRDefault="00D301DB" w:rsidP="00D301DB">
      <w:pPr>
        <w:spacing w:line="240" w:lineRule="auto"/>
        <w:rPr>
          <w:rFonts w:asciiTheme="minorHAnsi" w:hAnsiTheme="minorHAnsi"/>
          <w:color w:val="000000"/>
          <w:sz w:val="24"/>
          <w:szCs w:val="24"/>
        </w:rPr>
      </w:pPr>
      <w:r w:rsidRPr="00D301DB">
        <w:rPr>
          <w:rFonts w:asciiTheme="minorHAnsi" w:hAnsiTheme="minorHAnsi"/>
          <w:color w:val="000000"/>
          <w:sz w:val="24"/>
          <w:szCs w:val="24"/>
        </w:rPr>
        <w:t xml:space="preserve">D.T. Q.F. Laura Ramírez </w:t>
      </w:r>
      <w:proofErr w:type="spellStart"/>
      <w:r w:rsidRPr="00D301DB">
        <w:rPr>
          <w:rFonts w:asciiTheme="minorHAnsi" w:hAnsiTheme="minorHAnsi"/>
          <w:color w:val="000000"/>
          <w:sz w:val="24"/>
          <w:szCs w:val="24"/>
        </w:rPr>
        <w:t>Reg</w:t>
      </w:r>
      <w:proofErr w:type="spellEnd"/>
      <w:r w:rsidRPr="00D301DB">
        <w:rPr>
          <w:rFonts w:asciiTheme="minorHAnsi" w:hAnsiTheme="minorHAnsi"/>
          <w:color w:val="000000"/>
          <w:sz w:val="24"/>
          <w:szCs w:val="24"/>
        </w:rPr>
        <w:t xml:space="preserve"> </w:t>
      </w:r>
      <w:proofErr w:type="spellStart"/>
      <w:r w:rsidRPr="00D301DB">
        <w:rPr>
          <w:rFonts w:asciiTheme="minorHAnsi" w:hAnsiTheme="minorHAnsi"/>
          <w:color w:val="000000"/>
          <w:sz w:val="24"/>
          <w:szCs w:val="24"/>
        </w:rPr>
        <w:t>Prof</w:t>
      </w:r>
      <w:proofErr w:type="spellEnd"/>
      <w:r w:rsidRPr="00D301DB">
        <w:rPr>
          <w:rFonts w:asciiTheme="minorHAnsi" w:hAnsiTheme="minorHAnsi"/>
          <w:color w:val="000000"/>
          <w:sz w:val="24"/>
          <w:szCs w:val="24"/>
        </w:rPr>
        <w:t xml:space="preserve"> </w:t>
      </w:r>
      <w:proofErr w:type="spellStart"/>
      <w:r w:rsidRPr="00D301DB">
        <w:rPr>
          <w:rFonts w:asciiTheme="minorHAnsi" w:hAnsiTheme="minorHAnsi"/>
          <w:color w:val="000000"/>
          <w:sz w:val="24"/>
          <w:szCs w:val="24"/>
        </w:rPr>
        <w:t>Nº</w:t>
      </w:r>
      <w:proofErr w:type="spellEnd"/>
      <w:r w:rsidRPr="00D301DB">
        <w:rPr>
          <w:rFonts w:asciiTheme="minorHAnsi" w:hAnsiTheme="minorHAnsi"/>
          <w:color w:val="000000"/>
          <w:sz w:val="24"/>
          <w:szCs w:val="24"/>
        </w:rPr>
        <w:t xml:space="preserve"> 4142</w:t>
      </w:r>
    </w:p>
    <w:p w14:paraId="7354ACFA" w14:textId="77777777" w:rsidR="00D301DB" w:rsidRPr="00D301DB" w:rsidRDefault="00D301DB" w:rsidP="00D301DB">
      <w:pPr>
        <w:rPr>
          <w:sz w:val="24"/>
          <w:szCs w:val="24"/>
        </w:rPr>
      </w:pPr>
    </w:p>
    <w:p w14:paraId="7A915DB8" w14:textId="77777777" w:rsidR="00D301DB" w:rsidRDefault="00D301DB" w:rsidP="00D301DB">
      <w:pPr>
        <w:autoSpaceDE w:val="0"/>
        <w:autoSpaceDN w:val="0"/>
        <w:adjustRightInd w:val="0"/>
        <w:spacing w:line="240" w:lineRule="auto"/>
        <w:ind w:left="0" w:firstLine="0"/>
        <w:rPr>
          <w:sz w:val="24"/>
          <w:szCs w:val="24"/>
        </w:rPr>
      </w:pPr>
    </w:p>
    <w:p w14:paraId="68EAFD25" w14:textId="77777777" w:rsidR="001562FC" w:rsidRDefault="001562FC"/>
    <w:sectPr w:rsidR="001562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B"/>
    <w:rsid w:val="001562FC"/>
    <w:rsid w:val="00B61E7F"/>
    <w:rsid w:val="00D301D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9D1E"/>
  <w15:chartTrackingRefBased/>
  <w15:docId w15:val="{E9EF6F75-974A-48F2-BB68-1A5B45D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DB"/>
    <w:pPr>
      <w:spacing w:after="0" w:line="276" w:lineRule="auto"/>
      <w:ind w:left="2126" w:hanging="2126"/>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5910">
      <w:bodyDiv w:val="1"/>
      <w:marLeft w:val="0"/>
      <w:marRight w:val="0"/>
      <w:marTop w:val="0"/>
      <w:marBottom w:val="0"/>
      <w:divBdr>
        <w:top w:val="none" w:sz="0" w:space="0" w:color="auto"/>
        <w:left w:val="none" w:sz="0" w:space="0" w:color="auto"/>
        <w:bottom w:val="none" w:sz="0" w:space="0" w:color="auto"/>
        <w:right w:val="none" w:sz="0" w:space="0" w:color="auto"/>
      </w:divBdr>
    </w:div>
    <w:div w:id="173767789">
      <w:bodyDiv w:val="1"/>
      <w:marLeft w:val="0"/>
      <w:marRight w:val="0"/>
      <w:marTop w:val="0"/>
      <w:marBottom w:val="0"/>
      <w:divBdr>
        <w:top w:val="none" w:sz="0" w:space="0" w:color="auto"/>
        <w:left w:val="none" w:sz="0" w:space="0" w:color="auto"/>
        <w:bottom w:val="none" w:sz="0" w:space="0" w:color="auto"/>
        <w:right w:val="none" w:sz="0" w:space="0" w:color="auto"/>
      </w:divBdr>
    </w:div>
    <w:div w:id="206648862">
      <w:bodyDiv w:val="1"/>
      <w:marLeft w:val="0"/>
      <w:marRight w:val="0"/>
      <w:marTop w:val="0"/>
      <w:marBottom w:val="0"/>
      <w:divBdr>
        <w:top w:val="none" w:sz="0" w:space="0" w:color="auto"/>
        <w:left w:val="none" w:sz="0" w:space="0" w:color="auto"/>
        <w:bottom w:val="none" w:sz="0" w:space="0" w:color="auto"/>
        <w:right w:val="none" w:sz="0" w:space="0" w:color="auto"/>
      </w:divBdr>
    </w:div>
    <w:div w:id="356388770">
      <w:bodyDiv w:val="1"/>
      <w:marLeft w:val="0"/>
      <w:marRight w:val="0"/>
      <w:marTop w:val="0"/>
      <w:marBottom w:val="0"/>
      <w:divBdr>
        <w:top w:val="none" w:sz="0" w:space="0" w:color="auto"/>
        <w:left w:val="none" w:sz="0" w:space="0" w:color="auto"/>
        <w:bottom w:val="none" w:sz="0" w:space="0" w:color="auto"/>
        <w:right w:val="none" w:sz="0" w:space="0" w:color="auto"/>
      </w:divBdr>
    </w:div>
    <w:div w:id="636227464">
      <w:bodyDiv w:val="1"/>
      <w:marLeft w:val="0"/>
      <w:marRight w:val="0"/>
      <w:marTop w:val="0"/>
      <w:marBottom w:val="0"/>
      <w:divBdr>
        <w:top w:val="none" w:sz="0" w:space="0" w:color="auto"/>
        <w:left w:val="none" w:sz="0" w:space="0" w:color="auto"/>
        <w:bottom w:val="none" w:sz="0" w:space="0" w:color="auto"/>
        <w:right w:val="none" w:sz="0" w:space="0" w:color="auto"/>
      </w:divBdr>
    </w:div>
    <w:div w:id="832334879">
      <w:bodyDiv w:val="1"/>
      <w:marLeft w:val="0"/>
      <w:marRight w:val="0"/>
      <w:marTop w:val="0"/>
      <w:marBottom w:val="0"/>
      <w:divBdr>
        <w:top w:val="none" w:sz="0" w:space="0" w:color="auto"/>
        <w:left w:val="none" w:sz="0" w:space="0" w:color="auto"/>
        <w:bottom w:val="none" w:sz="0" w:space="0" w:color="auto"/>
        <w:right w:val="none" w:sz="0" w:space="0" w:color="auto"/>
      </w:divBdr>
    </w:div>
    <w:div w:id="11910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8599</Characters>
  <Application>Microsoft Office Word</Application>
  <DocSecurity>0</DocSecurity>
  <Lines>71</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2020-06-25T17:43:00Z</dcterms:created>
  <dcterms:modified xsi:type="dcterms:W3CDTF">2020-06-25T17:48:00Z</dcterms:modified>
</cp:coreProperties>
</file>