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452FB" w14:textId="77777777" w:rsidR="005004EB" w:rsidRPr="005004EB" w:rsidRDefault="005004EB" w:rsidP="005004EB">
      <w:pPr>
        <w:jc w:val="center"/>
        <w:rPr>
          <w:b/>
          <w:bCs/>
          <w:sz w:val="28"/>
          <w:szCs w:val="28"/>
        </w:rPr>
      </w:pPr>
      <w:bookmarkStart w:id="0" w:name="_GoBack"/>
      <w:bookmarkEnd w:id="0"/>
      <w:r w:rsidRPr="005004EB">
        <w:rPr>
          <w:b/>
          <w:bCs/>
          <w:sz w:val="28"/>
          <w:szCs w:val="28"/>
        </w:rPr>
        <w:t>EXETIDE 4</w:t>
      </w:r>
    </w:p>
    <w:p w14:paraId="4ECE397C" w14:textId="77777777" w:rsidR="005004EB" w:rsidRPr="005004EB" w:rsidRDefault="005004EB" w:rsidP="005004EB">
      <w:pPr>
        <w:jc w:val="center"/>
        <w:rPr>
          <w:b/>
          <w:bCs/>
          <w:sz w:val="28"/>
          <w:szCs w:val="28"/>
        </w:rPr>
      </w:pPr>
      <w:r w:rsidRPr="005004EB">
        <w:rPr>
          <w:b/>
          <w:bCs/>
          <w:sz w:val="28"/>
          <w:szCs w:val="28"/>
        </w:rPr>
        <w:t>ACIDO ZOLEDRONICO 4 mg</w:t>
      </w:r>
    </w:p>
    <w:p w14:paraId="4A0F890E" w14:textId="77777777" w:rsidR="005004EB" w:rsidRDefault="005004EB" w:rsidP="005004EB"/>
    <w:p w14:paraId="47738543" w14:textId="588038CA" w:rsidR="005004EB" w:rsidRDefault="005004EB" w:rsidP="005004EB">
      <w:r>
        <w:t>Industria Paraguaya                                              Polvo Liofilizado para Solución Inyectable</w:t>
      </w:r>
    </w:p>
    <w:p w14:paraId="35CC25E5" w14:textId="77777777" w:rsidR="005004EB" w:rsidRDefault="005004EB" w:rsidP="005004EB">
      <w:r>
        <w:t xml:space="preserve"> Venta Bajo Receta                                                                                                        V.A.: IV                                                                            </w:t>
      </w:r>
    </w:p>
    <w:p w14:paraId="73D691C3" w14:textId="77777777" w:rsidR="005004EB" w:rsidRDefault="005004EB" w:rsidP="005004EB"/>
    <w:p w14:paraId="09A2E24D" w14:textId="77777777" w:rsidR="005004EB" w:rsidRDefault="005004EB" w:rsidP="005004EB">
      <w:r>
        <w:t>Fórmula:</w:t>
      </w:r>
    </w:p>
    <w:p w14:paraId="48D04C35" w14:textId="77777777" w:rsidR="005004EB" w:rsidRDefault="005004EB" w:rsidP="005004EB">
      <w:r>
        <w:t>Cada frasco vial contiene:</w:t>
      </w:r>
    </w:p>
    <w:p w14:paraId="7A087BD8" w14:textId="77777777" w:rsidR="005004EB" w:rsidRDefault="005004EB" w:rsidP="005004EB">
      <w:r>
        <w:t>Acido Zoledrónico (Equiv. a 4,794 mg de Acido Zoledrónico trihidrato) .................... 4 mg</w:t>
      </w:r>
    </w:p>
    <w:p w14:paraId="32841192" w14:textId="77777777" w:rsidR="005004EB" w:rsidRDefault="005004EB" w:rsidP="005004EB">
      <w:r>
        <w:t>Manitol ...................................................................................................................... 219 mg</w:t>
      </w:r>
    </w:p>
    <w:p w14:paraId="0FA2CA82" w14:textId="77777777" w:rsidR="005004EB" w:rsidRDefault="005004EB" w:rsidP="005004EB">
      <w:r>
        <w:t>Citrato de Sodio dihidrato........................................................................................... 24 mg</w:t>
      </w:r>
    </w:p>
    <w:p w14:paraId="733FA71A" w14:textId="77777777" w:rsidR="005004EB" w:rsidRDefault="005004EB" w:rsidP="005004EB">
      <w:r>
        <w:t>Cada ampolla solvente contiene:</w:t>
      </w:r>
    </w:p>
    <w:p w14:paraId="6BFA9464" w14:textId="77777777" w:rsidR="005004EB" w:rsidRDefault="005004EB" w:rsidP="005004EB">
      <w:r>
        <w:t>Agua para Inyectable ...................................................................................................5 mL.</w:t>
      </w:r>
    </w:p>
    <w:p w14:paraId="071BBB97" w14:textId="77777777" w:rsidR="005004EB" w:rsidRDefault="005004EB" w:rsidP="005004EB">
      <w:r>
        <w:t>ACCIÓN TERAPÉUTICA:</w:t>
      </w:r>
    </w:p>
    <w:p w14:paraId="4DF83BB0" w14:textId="77777777" w:rsidR="005004EB" w:rsidRDefault="005004EB" w:rsidP="005004EB">
      <w:r>
        <w:t>Inhibidor de la resorsión ósea</w:t>
      </w:r>
    </w:p>
    <w:p w14:paraId="4716B2BE" w14:textId="77777777" w:rsidR="005004EB" w:rsidRDefault="005004EB" w:rsidP="005004EB"/>
    <w:p w14:paraId="4CD3FAC4" w14:textId="77777777" w:rsidR="005004EB" w:rsidRDefault="005004EB" w:rsidP="005004EB">
      <w:r>
        <w:t>MECANISMO DE ACCIÓN Y DATOS FARMACOCINÉTICOS:</w:t>
      </w:r>
    </w:p>
    <w:p w14:paraId="7B47FF93" w14:textId="77777777" w:rsidR="005004EB" w:rsidRDefault="005004EB" w:rsidP="005004EB">
      <w:r>
        <w:t xml:space="preserve">Propiedades farmacodinámicas </w:t>
      </w:r>
    </w:p>
    <w:p w14:paraId="1424AA75" w14:textId="77777777" w:rsidR="005004EB" w:rsidRDefault="005004EB" w:rsidP="005004EB">
      <w:r>
        <w:t xml:space="preserve">Grupo farmacoterapéutico: Fármacos para el tratamiento de enfermedades óseas, bisfosfonatos, código ATC: M05BA08 </w:t>
      </w:r>
    </w:p>
    <w:p w14:paraId="5DAC0E50" w14:textId="77777777" w:rsidR="005004EB" w:rsidRDefault="005004EB" w:rsidP="005004EB">
      <w:r>
        <w:t xml:space="preserve">El ácido zoledrónico pertenece a la clase de los bisfosfonatos y actúa principalmente en el hueso. Es un inhibidor de la resorción ósea osteoclástica. </w:t>
      </w:r>
    </w:p>
    <w:p w14:paraId="2CADFBAA" w14:textId="77777777" w:rsidR="005004EB" w:rsidRDefault="005004EB" w:rsidP="005004EB">
      <w:r>
        <w:t xml:space="preserve">La acción ósea selectiva de los bisfosfonatos se basa en su gran afinidad por el hueso mineralizado, pero el mecanismo molecular preciso que da lugar a la inhibición de la actividad osteoclástica aún no está claro. En estudios de larga duración en animales, el ácido zoledrónico inhibe la resorción ósea sin perjudicar la formación, mineralización ni las propiedades mecánicas del hueso. </w:t>
      </w:r>
    </w:p>
    <w:p w14:paraId="299C721D" w14:textId="77777777" w:rsidR="005004EB" w:rsidRDefault="005004EB" w:rsidP="005004EB">
      <w:r>
        <w:t>Además de ser un muy potente inhibidor de la resorción ósea, el ácido zoledrónico también posee varias propiedades antitumorales que pueden contribuir a su eficacia general en el tratamiento de la metástasis ósea.</w:t>
      </w:r>
    </w:p>
    <w:p w14:paraId="71D295B4" w14:textId="77777777" w:rsidR="005004EB" w:rsidRDefault="005004EB" w:rsidP="005004EB">
      <w:r>
        <w:t xml:space="preserve">Se han demostrado las siguientes propiedades en ensayos preclínicos: </w:t>
      </w:r>
    </w:p>
    <w:p w14:paraId="36C60C0F" w14:textId="77777777" w:rsidR="005004EB" w:rsidRDefault="005004EB" w:rsidP="005004EB">
      <w:r>
        <w:t xml:space="preserve">- In vivo: Inhibición de la resorción ósea osteoclástica, lo que altera el microentorno de la médula ósea haciéndolo menos favorable al crecimiento de la célula tumoral, actividad antiangiogénica y actividad analgésica. </w:t>
      </w:r>
    </w:p>
    <w:p w14:paraId="66C9640D" w14:textId="77777777" w:rsidR="005004EB" w:rsidRDefault="005004EB" w:rsidP="005004EB">
      <w:r>
        <w:lastRenderedPageBreak/>
        <w:t xml:space="preserve">- In vitro: Inhibición de la proliferación osteoblástica, actividad citostática directa y pro-apoptótica sobre las células tumorales, efecto citostático sinérgico con otros fármacos anticancerígenos, actividad antiadhesiva/invasiva </w:t>
      </w:r>
    </w:p>
    <w:p w14:paraId="5710474C" w14:textId="77777777" w:rsidR="005004EB" w:rsidRDefault="005004EB" w:rsidP="005004EB">
      <w:r>
        <w:t xml:space="preserve">Resultados de los ensayos clínicos en la prevención de eventos relacionados con el esqueleto en pacientes con neoplasias avanzadas con afectación ósea </w:t>
      </w:r>
    </w:p>
    <w:p w14:paraId="268C2320" w14:textId="77777777" w:rsidR="005004EB" w:rsidRDefault="005004EB" w:rsidP="005004EB">
      <w:r>
        <w:t>El primer estudio aleatorizado, doble ciego, controlado con placebo comparó 4 mg de ácido zoledrónico con placebo para la prevención de eventos relacionados con el esqueleto (ERE) en pacientes con cáncer de próstata. La administración de 4 mg de ácido zoledrónico disminuyó significativamente la proporción de pacientes que experimentaron al menos un evento relacionado con el esqueleto (ERE), retrasó la mediana de tiempo hasta el primer ERE en más de 5 meses y redujo la incidencia anual de eventos por paciente – tasa de morbididad esquelética. El análisis de eventos múltiples mostró una reducción del riesgo del 36% en el desarrollo de ERE en el grupo de 4 mg de ácido zoledrónico en comparación con placebo. Los pacientes que recibieron 4 mg de ácido zoledrónico registraron un menor incremento del dolor que los que recibieron placebo, alcanzando diferencias significativas en los meses 3, 9, 21 y 24. Un menor número de pacientes tratados con 4 mg de ácido zoledrónico sufrió fracturas patológicas. Los efectos del tratamiento fueron menos pronunciados en pacientes con lesiones blásticas.</w:t>
      </w:r>
    </w:p>
    <w:p w14:paraId="692C4768" w14:textId="77777777" w:rsidR="005004EB" w:rsidRDefault="005004EB" w:rsidP="005004EB">
      <w:r>
        <w:t xml:space="preserve">Resultados de los ensayos clínicos en el tratamiento de la HIT </w:t>
      </w:r>
    </w:p>
    <w:p w14:paraId="62BC573E" w14:textId="77777777" w:rsidR="005004EB" w:rsidRDefault="005004EB" w:rsidP="005004EB">
      <w:r>
        <w:t xml:space="preserve">Los ensayos clínicos en hipercalcemia inducida por tumor (HIT) demostraron que el ácido zoledrónico se caracteriza por disminuir el calcio sérico y la excreción urinaria de calcio. En los estudios de Fase I de búsqueda de dosis en pacientes con hipercalcemia inducida por tumor (HIT) de leve a moderada, las dosis efectivas ensayadas estuvieron en el rango de aproximadamente 1,2–2,5 mg. </w:t>
      </w:r>
    </w:p>
    <w:p w14:paraId="6E6BC607" w14:textId="77777777" w:rsidR="005004EB" w:rsidRDefault="005004EB" w:rsidP="005004EB">
      <w:r>
        <w:t>Para valorar los efectos de 4 mg ácido zoledrónico frente a 90 mg de pamidronato, se combinaron los resultados de dos ensayos multicéntricos principales en pacientes con HIT en un análisis previamente planificado. Hubo una normalización más rápida de las concentraciones corregidas de calcio sérico en el día 4 para 8 mg de ácido zoledrónico, y en el día 7 para 4 mg y 8 mg de ácido zoledrónico</w:t>
      </w:r>
    </w:p>
    <w:p w14:paraId="3798F8F3" w14:textId="77777777" w:rsidR="005004EB" w:rsidRDefault="005004EB" w:rsidP="005004EB">
      <w:r>
        <w:t xml:space="preserve">Propiedades farmacocinéticas </w:t>
      </w:r>
    </w:p>
    <w:p w14:paraId="0293463E" w14:textId="77777777" w:rsidR="005004EB" w:rsidRDefault="005004EB" w:rsidP="005004EB">
      <w:r>
        <w:t xml:space="preserve">Perfusiones únicas y múltiples durante 5 y 15 minutos de 2, 4, 8 y 16 mg de ácido zoledrónico en 64 pacientes con metástasis ósea dieron como resultado los datos farmacocinéticos siguientes, observándose que son independientes de la dosis. </w:t>
      </w:r>
    </w:p>
    <w:p w14:paraId="66FA6255" w14:textId="77777777" w:rsidR="005004EB" w:rsidRDefault="005004EB" w:rsidP="005004EB">
      <w:r>
        <w:t xml:space="preserve">Después de iniciar la perfusión de ácido zoledrónico, las concentraciones plasmáticas de ácido zoledrónico aumentaron rápidamente, alcanzando el pico al final del periodo de perfusión, seguido de un rápido descenso hasta &lt; 10% del pico después de 4 horas y &lt; 1% del pico después de 24 horas, con un periodo subsiguiente prolongado de concentraciones muy bajas que no superan el 0,1% del pico antes de la segunda perfusión de ácido zoledrónico el día 28. </w:t>
      </w:r>
    </w:p>
    <w:p w14:paraId="2E9B3E5C" w14:textId="77777777" w:rsidR="005004EB" w:rsidRDefault="005004EB" w:rsidP="005004EB">
      <w:r>
        <w:t xml:space="preserve">El ácido zoledrónico administrado por vía intravenosa se elimina por un proceso trifásico: eliminación bifásica rápida de la circulación sistémica, con semividas de t1/2α 0,24 y t1/2β 1,87 horas, seguida por una fase de eliminación prolongada con una semivida de eliminación terminal de t1/2γ 146 horas. Después de dosis múltiples cada 28 días no hubo acumulación de ácido zoledrónico en plasma. El ácido zoledrónico no se metaboliza y se excreta inalterado por </w:t>
      </w:r>
      <w:r>
        <w:lastRenderedPageBreak/>
        <w:t xml:space="preserve">vía renal. Durante las primeras 24 horas, el 39 ± 16% de la dosis administrada se recupera en la orina, mientras que la restante se une principalmente al tejido óseo. Del tejido óseo se libera muy lentamente volviendo a la circulación sistémica y se elimina por vía renal. El aclaramiento corporal total es 5,04 ± 2,5 L/h, independiente de la dosis, y no está afectado por el sexo, edad, raza ni peso corporal. Incrementando el tiempo de perfusión de 5 a 15 minutos se produjo un descenso del 30% en la concentración de ácido zoledrónico al final de la perfusión, sin afectar al área bajo la curva de la concentración plasmática frente al tiempo. </w:t>
      </w:r>
    </w:p>
    <w:p w14:paraId="14B413FC" w14:textId="77777777" w:rsidR="005004EB" w:rsidRDefault="005004EB" w:rsidP="005004EB">
      <w:r>
        <w:t xml:space="preserve">La variabilidad entre pacientes de los parámetros farmacocinéticos para el ácido zoledrónico fue elevada, tal como se ha visto con otros bisfosfonatos. </w:t>
      </w:r>
    </w:p>
    <w:p w14:paraId="5B6F65BD" w14:textId="77777777" w:rsidR="005004EB" w:rsidRDefault="005004EB" w:rsidP="005004EB">
      <w:r>
        <w:t xml:space="preserve">No se dispone de datos farmacocinéticos del ácido zoledrónico en pacientes con hipercalcemia ni en pacientes con insuficiencia hepática. El ácido zoledrónico no inhibe las enzimas humanas del citocromo P450 in vitro, no acusa biotransformación, y en estudios con animales, &lt; 3% de la dosis administrada se recuperó en heces, lo cual indica que la función hepática no desempeña una función importante en la farmacocinética del ácido zoledrónico. </w:t>
      </w:r>
    </w:p>
    <w:p w14:paraId="5B9EF088" w14:textId="77777777" w:rsidR="005004EB" w:rsidRDefault="005004EB" w:rsidP="005004EB">
      <w:r>
        <w:t xml:space="preserve">El aclaramiento renal del ácido zoledrónico se correlacionó significativamente de forma positiva con el aclaramiento de creatinina, representando el aclaramiento renal el 75 ± 33% del aclaramiento de creatinina, que mostró una media de 84 ± 29 mL/min (rango de 22 a 143 mL/min) en los 64 pacientes con cáncer estudiados. El análisis de la población mostró que para un paciente con un aclaramiento de creatinina de 20 ml/min (insuficiencia renal grave), o 50 mL/min (insuficiencia moderada), el correspondiente aclaramiento esperado de ácido zoledrónico sería de 37% ó 72% respectivamente, del de un paciente con un aclaramiento de creatinina de 84 mL/min. Sólo se dispone de datos farmacocinéticos limitados en pacientes con insuficiencia renal grave (aclaramiento de creatinina &lt; 30 mL/min). </w:t>
      </w:r>
    </w:p>
    <w:p w14:paraId="7B7E6852" w14:textId="77777777" w:rsidR="005004EB" w:rsidRDefault="005004EB" w:rsidP="005004EB">
      <w:r>
        <w:t xml:space="preserve">El ácido zoledrónico carece de afinidad por los componentes celulares de la sangre; su unión a proteínas plasmáticas es baja (aproximadamente 56%) e independiente de la concentración de ácido zoledrónico. </w:t>
      </w:r>
    </w:p>
    <w:p w14:paraId="3B75069A" w14:textId="77777777" w:rsidR="005004EB" w:rsidRDefault="005004EB" w:rsidP="005004EB">
      <w:r>
        <w:t xml:space="preserve">Poblaciones especiales </w:t>
      </w:r>
    </w:p>
    <w:p w14:paraId="138B22AE" w14:textId="77777777" w:rsidR="005004EB" w:rsidRDefault="005004EB" w:rsidP="005004EB">
      <w:r>
        <w:t xml:space="preserve">Pacientes pediátricos </w:t>
      </w:r>
    </w:p>
    <w:p w14:paraId="5BBE33CB" w14:textId="77777777" w:rsidR="005004EB" w:rsidRDefault="005004EB" w:rsidP="005004EB">
      <w:r>
        <w:t>Datos farmacocinéticos limitados en niños con osteogénesis imperfecta grave sugieren que la farmacocinética de ácido zoledrónico en niños de 3 a 17 años es similar a la de los adultos a niveles de dosis mg/kg similares. Parece que la edad, el peso, el género y el aclaramiento de creatinina no tienen ningún efecto sobre la exposición sistémica a ácido zoledrónico.</w:t>
      </w:r>
    </w:p>
    <w:p w14:paraId="2AD5D0A2" w14:textId="77777777" w:rsidR="005004EB" w:rsidRDefault="005004EB" w:rsidP="005004EB">
      <w:r>
        <w:t xml:space="preserve">Datos preclínicos sobre seguridad </w:t>
      </w:r>
    </w:p>
    <w:p w14:paraId="67B1A12E" w14:textId="77777777" w:rsidR="005004EB" w:rsidRDefault="005004EB" w:rsidP="005004EB">
      <w:r>
        <w:t xml:space="preserve">Toxicidad aguda </w:t>
      </w:r>
    </w:p>
    <w:p w14:paraId="248142BF" w14:textId="77777777" w:rsidR="005004EB" w:rsidRDefault="005004EB" w:rsidP="005004EB">
      <w:r>
        <w:t xml:space="preserve">La dosis única intravenosa máxima no letal fue de 10 mg/kg de peso corporal en ratones y 0,6 mg/kg en ratas. </w:t>
      </w:r>
    </w:p>
    <w:p w14:paraId="0DEA557C" w14:textId="77777777" w:rsidR="005004EB" w:rsidRDefault="005004EB" w:rsidP="005004EB">
      <w:r>
        <w:t xml:space="preserve">Toxicidad crónica y subcrónica </w:t>
      </w:r>
    </w:p>
    <w:p w14:paraId="71DE1D15" w14:textId="77777777" w:rsidR="005004EB" w:rsidRDefault="005004EB" w:rsidP="005004EB">
      <w:r>
        <w:t xml:space="preserve">El ácido zoledrónico fue bien tolerado cuando se administró por vía subcutánea a ratas y por vía intravenosa a perros en dosis de hasta 0,02 mg/kg diarios durante 4 semanas. La administración de 0,001 mg/kg/día por vía subcutánea a ratas y 0,005 mg/kg por vía </w:t>
      </w:r>
      <w:r>
        <w:lastRenderedPageBreak/>
        <w:t xml:space="preserve">intravenosa una vez cada 2–3 días a perros durante 52 semanas inclusive también fue bien tolerada. </w:t>
      </w:r>
    </w:p>
    <w:p w14:paraId="710EA0D1" w14:textId="77777777" w:rsidR="005004EB" w:rsidRDefault="005004EB" w:rsidP="005004EB">
      <w:r>
        <w:t xml:space="preserve">El hallazgo más frecuente en estudios de dosis repetidas consistió en un aumento de la sustancia esponjosa primaria en las metáfisis de huesos largos de animales en crecimiento a prácticamente todas las dosis, hecho que refleja la actividad farmacológica antiresortiva del compuesto. </w:t>
      </w:r>
    </w:p>
    <w:p w14:paraId="593C6B3C" w14:textId="77777777" w:rsidR="005004EB" w:rsidRDefault="005004EB" w:rsidP="005004EB">
      <w:r>
        <w:t xml:space="preserve">Los márgenes de seguridad relativos a los efectos renales fueron estrechos en estudios con animales a largo plazo con dosis parenterales repetidas pero los niveles sin efectos adversos (NOAELs) acumulados en estudios de dosis única (1,6 mg/kg) y dosis múltiples durante un mes (0,06–0,6 mg/kg/día) no indicaron efectos renales a dosis equivalentes o superiores a la dosis terapéutica mayor recomendada en humanos. La administración a más largo plazo de dosis repetidas próximas a la mayor dosis terapéutica recomendada en humanos de ácido zoledrónico produjo efectos toxicológicos en otros órganos incluyendo el tracto gastrointestinal, hígado, bazo y pulmones y en los lugares de inyección intravenosa. </w:t>
      </w:r>
    </w:p>
    <w:p w14:paraId="7DEAB9A1" w14:textId="77777777" w:rsidR="005004EB" w:rsidRDefault="005004EB" w:rsidP="005004EB">
      <w:r>
        <w:t xml:space="preserve">Toxicidad en la reproducción </w:t>
      </w:r>
    </w:p>
    <w:p w14:paraId="30E057B7" w14:textId="77777777" w:rsidR="005004EB" w:rsidRDefault="005004EB" w:rsidP="005004EB">
      <w:r>
        <w:t xml:space="preserve">El ácido zoledrónico fue teratógeno en ratas en dosis subcutáneas ≥ 0,2 mg/kg. No se observó teratogenicidad o fetotoxicidad en los conejos, pero sí toxicidad materna. Se observó distocia con la dosis mínima ensayada en ratas (0,01 mg/kg de peso corporal). </w:t>
      </w:r>
    </w:p>
    <w:p w14:paraId="2991D5A2" w14:textId="77777777" w:rsidR="005004EB" w:rsidRDefault="005004EB" w:rsidP="005004EB">
      <w:r>
        <w:t xml:space="preserve">Mutagenicidad y potencial carcinogénico </w:t>
      </w:r>
    </w:p>
    <w:p w14:paraId="5ABD6CA2" w14:textId="77777777" w:rsidR="005004EB" w:rsidRDefault="005004EB" w:rsidP="005004EB">
      <w:r>
        <w:t>El ácido zoledrónico no fue mutagénico en los ensayos de mutagenicidad realizados y los ensayos de carcinogénesis no revelaron signo alguno de potencial carcinogénico.</w:t>
      </w:r>
    </w:p>
    <w:p w14:paraId="2FFD7951" w14:textId="77777777" w:rsidR="005004EB" w:rsidRDefault="005004EB" w:rsidP="005004EB"/>
    <w:p w14:paraId="2A23D292" w14:textId="77777777" w:rsidR="005004EB" w:rsidRDefault="005004EB" w:rsidP="005004EB">
      <w:r>
        <w:t>INDICACIONES TERAPÉUTICAS:</w:t>
      </w:r>
    </w:p>
    <w:p w14:paraId="3B520315" w14:textId="77777777" w:rsidR="005004EB" w:rsidRDefault="005004EB" w:rsidP="005004EB">
      <w:r>
        <w:t xml:space="preserve">- Prevención de eventos relacionados con el esqueleto (fracturas patológicas, compresión medular, radiación o cirugía ósea, o hipercalcemia inducida por tumor) en pacientes adultos con neoplasias avanzadas con afectación ósea. </w:t>
      </w:r>
    </w:p>
    <w:p w14:paraId="544D0083" w14:textId="77777777" w:rsidR="005004EB" w:rsidRDefault="005004EB" w:rsidP="005004EB">
      <w:r>
        <w:t>- Tratamiento de pacientes adultos con hipercalcemia inducida por tumor (HIT).</w:t>
      </w:r>
    </w:p>
    <w:p w14:paraId="29199129" w14:textId="77777777" w:rsidR="005004EB" w:rsidRDefault="005004EB" w:rsidP="005004EB"/>
    <w:p w14:paraId="54E29721" w14:textId="77777777" w:rsidR="005004EB" w:rsidRDefault="005004EB" w:rsidP="005004EB">
      <w:r>
        <w:t xml:space="preserve">POSOLOGÍA Y MODO DE USO: </w:t>
      </w:r>
    </w:p>
    <w:p w14:paraId="13CCA089" w14:textId="77777777" w:rsidR="005004EB" w:rsidRDefault="005004EB" w:rsidP="005004EB">
      <w:r>
        <w:t xml:space="preserve">Ácido Zoledrónico sólo debe ser prescrito y administrado a los pacientes por profesionales sanitarios con experiencia en la administración de bisfosfonatos intravenosos. </w:t>
      </w:r>
    </w:p>
    <w:p w14:paraId="2C376F8D" w14:textId="77777777" w:rsidR="005004EB" w:rsidRDefault="005004EB" w:rsidP="005004EB">
      <w:r>
        <w:t xml:space="preserve">Posología </w:t>
      </w:r>
    </w:p>
    <w:p w14:paraId="65BF4E82" w14:textId="77777777" w:rsidR="005004EB" w:rsidRDefault="005004EB" w:rsidP="005004EB">
      <w:r>
        <w:t xml:space="preserve">Prevención de eventos relacionados con el esqueleto en pacientes con neoplasias avanzadas con afectación ósea. </w:t>
      </w:r>
    </w:p>
    <w:p w14:paraId="7733CCB5" w14:textId="77777777" w:rsidR="005004EB" w:rsidRDefault="005004EB" w:rsidP="005004EB">
      <w:r>
        <w:t xml:space="preserve">Adultos y personas de edad avanzada </w:t>
      </w:r>
    </w:p>
    <w:p w14:paraId="194122C8" w14:textId="77777777" w:rsidR="005004EB" w:rsidRDefault="005004EB" w:rsidP="005004EB">
      <w:r>
        <w:t>La dosis recomendada en la prevención de eventos relacionados con el esqueleto en pacientes con neoplasias avanzadas con afectación ósea es de 4 mg de ácido zoledrónico cada 3 ó 4 semanas</w:t>
      </w:r>
    </w:p>
    <w:p w14:paraId="72E02334" w14:textId="77777777" w:rsidR="005004EB" w:rsidRDefault="005004EB" w:rsidP="005004EB">
      <w:r>
        <w:t xml:space="preserve">Deberá administrarse a los pacientes diariamente un suplemento oral de calcio de 500 mg y 400 UI de vitamina D. </w:t>
      </w:r>
    </w:p>
    <w:p w14:paraId="1BB365D9" w14:textId="77777777" w:rsidR="005004EB" w:rsidRDefault="005004EB" w:rsidP="005004EB">
      <w:r>
        <w:t xml:space="preserve">La decisión de tratar a pacientes con metástasis óseas para la prevención de eventos relacionados con el esqueleto debe tener en cuenta que el inicio del efecto de tratamiento aparece a los 2-3 meses. </w:t>
      </w:r>
    </w:p>
    <w:p w14:paraId="4C56F54C" w14:textId="77777777" w:rsidR="005004EB" w:rsidRDefault="005004EB" w:rsidP="005004EB">
      <w:r>
        <w:t xml:space="preserve">Tratamiento de la HIT </w:t>
      </w:r>
    </w:p>
    <w:p w14:paraId="3F0D38AE" w14:textId="77777777" w:rsidR="005004EB" w:rsidRDefault="005004EB" w:rsidP="005004EB">
      <w:r>
        <w:t xml:space="preserve">Adultos y personas de edad avanzada </w:t>
      </w:r>
    </w:p>
    <w:p w14:paraId="79443D67" w14:textId="77777777" w:rsidR="005004EB" w:rsidRDefault="005004EB" w:rsidP="005004EB">
      <w:r>
        <w:t xml:space="preserve">La dosis recomendada en hipercalcemia (concentración corregida de calcio sérico respecto a la albúmina ≥ 12,0 mg/dL ó 3,0 mmol/L) es una dosis única de 4 mg de ácido zoledrónico. </w:t>
      </w:r>
    </w:p>
    <w:p w14:paraId="49F4A296" w14:textId="77777777" w:rsidR="005004EB" w:rsidRDefault="005004EB" w:rsidP="005004EB">
      <w:r>
        <w:t xml:space="preserve">Insuficiencia renal </w:t>
      </w:r>
    </w:p>
    <w:p w14:paraId="490E2C3C" w14:textId="77777777" w:rsidR="005004EB" w:rsidRDefault="005004EB" w:rsidP="005004EB">
      <w:r>
        <w:t xml:space="preserve">HIT: </w:t>
      </w:r>
    </w:p>
    <w:p w14:paraId="3FC3C82C" w14:textId="77777777" w:rsidR="005004EB" w:rsidRDefault="005004EB" w:rsidP="005004EB">
      <w:r>
        <w:t xml:space="preserve">En los pacientes con HIT que también sufran insuficiencia renal grave el tratamienco con Ácido Zoledrónico deberá considerarse solamente tras la evaluación de los riesgos y beneficios del tratamiento. En los ensayos clínicos, se excluyeron a los pacientes con creatinina sérica &gt; 400 μmol/L ó &gt; 4,5 mg/dL. No se requiere un ajuste de la dosis en los pacientes con HIT con una creatinina sérica &lt; 400 μmol/L ó &lt; 4,5 mg/dL (ver Precauciones y Advertencias). </w:t>
      </w:r>
    </w:p>
    <w:p w14:paraId="54E319AC" w14:textId="77777777" w:rsidR="005004EB" w:rsidRDefault="005004EB" w:rsidP="005004EB">
      <w:r>
        <w:t xml:space="preserve">Prevención de eventos relacionados con el esqueleto en pacientes con neoplasias avanzadas con afectación ósea: </w:t>
      </w:r>
    </w:p>
    <w:p w14:paraId="275CC596" w14:textId="77777777" w:rsidR="005004EB" w:rsidRDefault="005004EB" w:rsidP="005004EB">
      <w:r>
        <w:t xml:space="preserve">Cuando se inicia el tratamiento con Ácido Zoledrónico en pacientes con mieloma múltiple o con lesiones metastásicas óseas de tumores sólidos, se deberá determinar la creatinina sérica y el aclaramiento de creatinina (Clcr). El CLcr se calcula a partir de la creatinina sérica utilizando la fórmula de Cockcroft-Gault. No se recomienda Ácido Zoledrónico  en los pacientes que presenten insuficiencia renal grave, definida para esta población como CLcr &lt; 30 mL/min, antes del inicio del tratamiento. En los ensayos clínicos con Ácido Zoledrónico, se excluyeron los pacientes con creatinina sérica &gt; 265 μmol/L ó &gt; 3,0 mg/dL. </w:t>
      </w:r>
    </w:p>
    <w:p w14:paraId="2D14C6C3" w14:textId="5109B899" w:rsidR="005004EB" w:rsidRDefault="005004EB" w:rsidP="005004EB">
      <w:r>
        <w:t>En pacientes con metástasis óseas que presentaban insuficiencia renal de leve a moderada, definida para esta población como CLcr 30–60 mL/min, antes del inicio de tratamiento se recomienda la siguiente dosis de Ácido Zoledrónico (ver también Precauciones y Advertencias):</w:t>
      </w:r>
    </w:p>
    <w:p w14:paraId="7CFBAF9A" w14:textId="781C5E58" w:rsidR="005004EB" w:rsidRDefault="005004EB" w:rsidP="005004EB">
      <w:r>
        <w:object w:dxaOrig="4273" w:dyaOrig="820" w14:anchorId="06795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40.5pt" o:ole="">
            <v:imagedata r:id="rId4" o:title=""/>
          </v:shape>
          <o:OLEObject Type="Embed" ProgID="CorelDraw.Graphic.17" ShapeID="_x0000_i1025" DrawAspect="Content" ObjectID="_1684914129" r:id="rId5"/>
        </w:object>
      </w:r>
    </w:p>
    <w:p w14:paraId="1119F452" w14:textId="77777777" w:rsidR="005004EB" w:rsidRDefault="005004EB" w:rsidP="005004EB"/>
    <w:p w14:paraId="2BBE9A39" w14:textId="77777777" w:rsidR="005004EB" w:rsidRDefault="005004EB" w:rsidP="005004EB"/>
    <w:p w14:paraId="4A2F4B88" w14:textId="77777777" w:rsidR="005004EB" w:rsidRDefault="005004EB" w:rsidP="005004EB"/>
    <w:p w14:paraId="13717D8C" w14:textId="77777777" w:rsidR="005004EB" w:rsidRDefault="005004EB" w:rsidP="005004EB"/>
    <w:p w14:paraId="03EA0EDF" w14:textId="77777777" w:rsidR="005004EB" w:rsidRDefault="005004EB" w:rsidP="005004EB"/>
    <w:p w14:paraId="45493E87" w14:textId="77777777" w:rsidR="005004EB" w:rsidRDefault="005004EB" w:rsidP="005004EB"/>
    <w:p w14:paraId="25F09FC1" w14:textId="77777777" w:rsidR="005004EB" w:rsidRDefault="005004EB" w:rsidP="005004EB">
      <w:r>
        <w:t xml:space="preserve">*Las dosis se han calculado asumiendo un AUC objetivo de 0,66 (mghr/L) (CLcr = 75 mL/min). Se espera que en los pacientes con insuficiencia renal las dosis reducidas alcancen la misma AUC que la observada en los pacientes con aclaramiento de creatinina de 75 mL/min. </w:t>
      </w:r>
    </w:p>
    <w:p w14:paraId="1B2D795F" w14:textId="77777777" w:rsidR="005004EB" w:rsidRDefault="005004EB" w:rsidP="005004EB">
      <w:r>
        <w:t xml:space="preserve">Una vez iniciado el tratamiento deberá medirse la creatinina sérica antes de cada dosis de Ácido Zoledrónico y el tratamiento deberá interrumpirse si se ha deteriorado la función renal. En los ensayos clínicos, el deterioro renal se definió como se indica a continuación: </w:t>
      </w:r>
    </w:p>
    <w:p w14:paraId="3A95E537" w14:textId="77777777" w:rsidR="005004EB" w:rsidRDefault="005004EB" w:rsidP="005004EB">
      <w:r>
        <w:t xml:space="preserve">- Para pacientes con creatinina sérica basal normal (&lt; 1,4 mg/dL ó &lt; 124 μmol/L), un aumento de 0,5 mg/dL ó 44 μmol/L; </w:t>
      </w:r>
    </w:p>
    <w:p w14:paraId="23872F32" w14:textId="77777777" w:rsidR="005004EB" w:rsidRDefault="005004EB" w:rsidP="005004EB">
      <w:r>
        <w:t>- Para pacientes con creatinina basal anormal (&gt; 1,4 mg/dL, ó &gt; 124 μmol/L), un aumento de 1,0 mg/dL ó 88 μmol/L.</w:t>
      </w:r>
    </w:p>
    <w:p w14:paraId="142A5E31" w14:textId="77777777" w:rsidR="005004EB" w:rsidRDefault="005004EB" w:rsidP="005004EB">
      <w:r>
        <w:t xml:space="preserve">En los ensayos clínicos, el tratamiento con Ácido Zoledrónico se reanudó únicamente cuando el nivel de creatinina volvió a hallarse dentro de un 10% del valor basal (ver Precauciones y Advertencias). El tratamiento con Ácido Zoledrónico deberá reanudarse a la misma dosis que tenía antes de la interrupción del tratamiento. </w:t>
      </w:r>
    </w:p>
    <w:p w14:paraId="386C4D27" w14:textId="77777777" w:rsidR="005004EB" w:rsidRDefault="005004EB" w:rsidP="005004EB">
      <w:r>
        <w:t xml:space="preserve">Población pediátrica </w:t>
      </w:r>
    </w:p>
    <w:p w14:paraId="2DD8925B" w14:textId="77777777" w:rsidR="005004EB" w:rsidRDefault="005004EB" w:rsidP="005004EB">
      <w:r>
        <w:t xml:space="preserve">No se ha establecido la seguridad y eficacia del ácido zoledrónico en niños de 1 año a 17 años. Los datos actualmente disponibles se incluyen en las Precauciones y Advertencias y Propiedades Farmacodinamicas, sin embargo no se puede hacer una recomendación posológica. </w:t>
      </w:r>
    </w:p>
    <w:p w14:paraId="687387F2" w14:textId="77777777" w:rsidR="005004EB" w:rsidRDefault="005004EB" w:rsidP="005004EB">
      <w:r>
        <w:t xml:space="preserve">Forma de administración </w:t>
      </w:r>
    </w:p>
    <w:p w14:paraId="3333356B" w14:textId="77777777" w:rsidR="005004EB" w:rsidRDefault="005004EB" w:rsidP="005004EB">
      <w:r>
        <w:t xml:space="preserve">Vía intravenosa. </w:t>
      </w:r>
    </w:p>
    <w:p w14:paraId="4E950FEE" w14:textId="77777777" w:rsidR="005004EB" w:rsidRDefault="005004EB" w:rsidP="005004EB">
      <w:r>
        <w:t xml:space="preserve">Ácido Zoledrónico 4 mg concentrado para solución para perfusión posteriormente diluido a 100 mL (ver Precauciones especiales de eliminación) se debe administrar como una perfusión intravenosa única, durante, como mínimo, 15 minutos. </w:t>
      </w:r>
    </w:p>
    <w:p w14:paraId="4790F0EE" w14:textId="77777777" w:rsidR="005004EB" w:rsidRDefault="005004EB" w:rsidP="005004EB">
      <w:r>
        <w:t xml:space="preserve">En pacientes con insuficiencia renal de leve a moderada, se recomiendan dosis reducidas de Ácido Zoledrónico (ver la sección anterior “Posología”). </w:t>
      </w:r>
    </w:p>
    <w:p w14:paraId="1E77C1A4" w14:textId="77777777" w:rsidR="005004EB" w:rsidRDefault="005004EB" w:rsidP="005004EB">
      <w:r>
        <w:t xml:space="preserve">Instrucciones para preparar dosis reducidas de Ácido Zoledrónico.: </w:t>
      </w:r>
    </w:p>
    <w:p w14:paraId="734C689F" w14:textId="77777777" w:rsidR="005004EB" w:rsidRDefault="005004EB" w:rsidP="005004EB">
      <w:r>
        <w:t xml:space="preserve">Retirar un volumen apropiado del concentrado necesario, como se indica a continuación: </w:t>
      </w:r>
    </w:p>
    <w:p w14:paraId="555696DE" w14:textId="77777777" w:rsidR="005004EB" w:rsidRDefault="005004EB" w:rsidP="005004EB">
      <w:r>
        <w:t xml:space="preserve">- 4,4 mL para una dosis de 3,5 mg </w:t>
      </w:r>
    </w:p>
    <w:p w14:paraId="75E6AD45" w14:textId="77777777" w:rsidR="005004EB" w:rsidRDefault="005004EB" w:rsidP="005004EB">
      <w:r>
        <w:t xml:space="preserve">- 4,1 mL para una dosis de 3,3 mg </w:t>
      </w:r>
    </w:p>
    <w:p w14:paraId="2D921C1D" w14:textId="77777777" w:rsidR="005004EB" w:rsidRDefault="005004EB" w:rsidP="005004EB">
      <w:r>
        <w:t xml:space="preserve">- 3,8 mL para una dosis de 3.0 mg </w:t>
      </w:r>
    </w:p>
    <w:p w14:paraId="594D5BAD" w14:textId="77777777" w:rsidR="005004EB" w:rsidRDefault="005004EB" w:rsidP="005004EB">
      <w:r>
        <w:t xml:space="preserve">La cantidad de concentrado retirada debe diluirse posteriormente en 100 mL de solución estéril de cloruro sódico al 0,9% p/V o en solución de glucosa al 5% p/V. La dosis deberá administrarse como perfusión intravenosa única durante 15 minutos como mínimo. </w:t>
      </w:r>
    </w:p>
    <w:p w14:paraId="07C2DF35" w14:textId="77777777" w:rsidR="005004EB" w:rsidRDefault="005004EB" w:rsidP="005004EB">
      <w:r>
        <w:t xml:space="preserve">Ácido Zoledrónico concentrado no se debe mezclar con otras soluciones para perfusión que contengan calcio u otros cationes divalentes, como la solución de Ringer lactato, y se debe administrar como solución intravenosa única en una vía de perfusión separada. </w:t>
      </w:r>
    </w:p>
    <w:p w14:paraId="59F9A22F" w14:textId="77777777" w:rsidR="005004EB" w:rsidRDefault="005004EB" w:rsidP="005004EB">
      <w:r>
        <w:t xml:space="preserve">Los pacientes se deben mantener bien hidratados antes y después de la administración de Ácido Zoledrónico </w:t>
      </w:r>
    </w:p>
    <w:p w14:paraId="58CFCC2D" w14:textId="77777777" w:rsidR="005004EB" w:rsidRDefault="005004EB" w:rsidP="005004EB">
      <w:r>
        <w:t>La solución de Ácido Zoledrónico es estable durante 24 horas a 2°C – 8°C tras la dilución en 100 mL de suero fisiológico salino o solución de glucosa al 5% p/V.</w:t>
      </w:r>
    </w:p>
    <w:p w14:paraId="36D8B1CA" w14:textId="77777777" w:rsidR="005004EB" w:rsidRDefault="005004EB" w:rsidP="005004EB">
      <w:r>
        <w:t xml:space="preserve">Precauciones especiales de conservación </w:t>
      </w:r>
    </w:p>
    <w:p w14:paraId="32296B40" w14:textId="77777777" w:rsidR="005004EB" w:rsidRDefault="005004EB" w:rsidP="005004EB">
      <w:r>
        <w:t xml:space="preserve">Ninguna precaución especial de conservación. </w:t>
      </w:r>
    </w:p>
    <w:p w14:paraId="7A043A0F" w14:textId="77777777" w:rsidR="005004EB" w:rsidRDefault="005004EB" w:rsidP="005004EB">
      <w:r>
        <w:t>Después de la dilución aséptica, conviene utilizar el producto diluido inmediatamente. Si éste no se usa enseguida, el tiempo y las condiciones de conservación antes de su utilización son responsabilidad del manipulador. El tiempo transcurrido entre la dilución y conservación en nevera a 2° C – 8° C y el final de la administración no debe exceder de 24 horas.</w:t>
      </w:r>
    </w:p>
    <w:p w14:paraId="0F343A0D" w14:textId="77777777" w:rsidR="005004EB" w:rsidRDefault="005004EB" w:rsidP="005004EB">
      <w:r>
        <w:t xml:space="preserve">Precauciones especiales de eliminación y otras manipulaciones </w:t>
      </w:r>
    </w:p>
    <w:p w14:paraId="61A3CE13" w14:textId="77777777" w:rsidR="005004EB" w:rsidRDefault="005004EB" w:rsidP="005004EB">
      <w:r>
        <w:t>Antes de la administración, se deberán diluir 5,0 mL de concentrado de un vial o el volumen de concentrado requerido con 100 mL de una solución para perfusión exenta de calcio (solución de cloruro sódico al 0,9% p/V o solución de glucosa al 5% p/V). La solución, si se ha refrigerado, deberá alcanzar la temperatura ambiente antes de la administración.</w:t>
      </w:r>
    </w:p>
    <w:p w14:paraId="6425A86F" w14:textId="77777777" w:rsidR="005004EB" w:rsidRDefault="005004EB" w:rsidP="005004EB"/>
    <w:p w14:paraId="13BB9BFE" w14:textId="77777777" w:rsidR="005004EB" w:rsidRDefault="005004EB" w:rsidP="005004EB">
      <w:r>
        <w:t>CONTRAINDICACIONES:</w:t>
      </w:r>
    </w:p>
    <w:p w14:paraId="1F5C27CE" w14:textId="77777777" w:rsidR="005004EB" w:rsidRDefault="005004EB" w:rsidP="005004EB">
      <w:r>
        <w:t xml:space="preserve">•Hipersensibilidad conocida al principio activo, a otros bisfosfonatos, o a alguno de los excipientes </w:t>
      </w:r>
    </w:p>
    <w:p w14:paraId="2D6FDD15" w14:textId="77777777" w:rsidR="005004EB" w:rsidRDefault="005004EB" w:rsidP="005004EB">
      <w:r>
        <w:t xml:space="preserve">•Lactancia (ver Restricciones de Uso) </w:t>
      </w:r>
    </w:p>
    <w:p w14:paraId="378140E7" w14:textId="77777777" w:rsidR="005004EB" w:rsidRDefault="005004EB" w:rsidP="005004EB"/>
    <w:p w14:paraId="74A3A253" w14:textId="77777777" w:rsidR="005004EB" w:rsidRDefault="005004EB" w:rsidP="005004EB">
      <w:r>
        <w:t>PRECAUCIONES Y ADVERTENCIAS:</w:t>
      </w:r>
    </w:p>
    <w:p w14:paraId="44974423" w14:textId="77777777" w:rsidR="005004EB" w:rsidRDefault="005004EB" w:rsidP="005004EB">
      <w:r>
        <w:t xml:space="preserve">General </w:t>
      </w:r>
    </w:p>
    <w:p w14:paraId="7A1DC176" w14:textId="77777777" w:rsidR="005004EB" w:rsidRDefault="005004EB" w:rsidP="005004EB">
      <w:r>
        <w:t xml:space="preserve">Los pacientes deben ser evaluados antes de la administración de Ácido Zoledrónico para asegurar que están adecuadamente hidratados. </w:t>
      </w:r>
    </w:p>
    <w:p w14:paraId="6293C865" w14:textId="77777777" w:rsidR="005004EB" w:rsidRDefault="005004EB" w:rsidP="005004EB">
      <w:r>
        <w:t>Debe evitarse la sobrehidratación en pacientes con riesgo de insuficiencia cardiaca.</w:t>
      </w:r>
    </w:p>
    <w:p w14:paraId="5A7BC6B2" w14:textId="77777777" w:rsidR="005004EB" w:rsidRDefault="005004EB" w:rsidP="005004EB">
      <w:r>
        <w:t xml:space="preserve">Los parámetros metabólicos habituales relacionados con la hipercalcemia, como las concentraciones séricas de calcio, fosfato y magnesio, deben ser cuidadosamente vigilados después de iniciar la terapia con Ácido Zoledrónico. Puede ser necesario un tratamiento adicional a corto plazo si se produce hipocalcemia, hipofosfatemia o hipomagnesemia. Los pacientes con hipercalcemia no tratada, presentan generalmente algún grado de alteración de la función renal, por lo tanto, deberá considerarse la monitorización cuidadosa de la función renal. </w:t>
      </w:r>
    </w:p>
    <w:p w14:paraId="59828C1B" w14:textId="77777777" w:rsidR="005004EB" w:rsidRDefault="005004EB" w:rsidP="005004EB">
      <w:r>
        <w:t xml:space="preserve">Los pacientes que están siendo tratados con Ácido Zoledrónico no deberán recibir tratamiento con ningún otro medicamento conteniendo ácido zoledrónico ni con ningún otro bisfosfonato de forma concomitante, puesto que se desconocen los efectos combinados de estos agentes. </w:t>
      </w:r>
    </w:p>
    <w:p w14:paraId="0045C1CD" w14:textId="77777777" w:rsidR="005004EB" w:rsidRDefault="005004EB" w:rsidP="005004EB">
      <w:r>
        <w:t xml:space="preserve">Insuficiencia renal </w:t>
      </w:r>
    </w:p>
    <w:p w14:paraId="0F288EB9" w14:textId="77777777" w:rsidR="005004EB" w:rsidRDefault="005004EB" w:rsidP="005004EB">
      <w:r>
        <w:t xml:space="preserve">Deberá evaluarse apropiadamente a los pacientes con HIT y evidencia de deterioro de la función renal, teniendo en consideración si el beneficio potencial del tratamiento con Ácido Zoledrónico supera el posible riesgo. </w:t>
      </w:r>
    </w:p>
    <w:p w14:paraId="21F7F9FF" w14:textId="77777777" w:rsidR="005004EB" w:rsidRDefault="005004EB" w:rsidP="005004EB">
      <w:r>
        <w:t xml:space="preserve">La decisión de tratar a pacientes con metástasis óseas para la prevención de eventos relacionados con el esqueleto deberá tener en consideración que el inicio del efecto del tratamiento es de 2–3 meses. </w:t>
      </w:r>
    </w:p>
    <w:p w14:paraId="413E629E" w14:textId="77777777" w:rsidR="005004EB" w:rsidRDefault="005004EB" w:rsidP="005004EB">
      <w:r>
        <w:t xml:space="preserve">Ácido zoledrónico se ha asociado con descripciones de disfunción renal. Los factores que pueden aumentar el riesgo de deterioro de la función renal incluyen deshidratación, insuficiencia renal preexistente, ciclos múltiples de ácido zoledrónico y otros bisfosfonatos y también el uso de otros fármacos nefrotóxicos. A pesar de que el riesgo se reduce con una dosis de 4 mg de ácido zoledrónico administrada durante 15 minutos, puede presentarse todavía deterioro de la función renal. Se han notificado casos de deterioro de la función renal con progresión a insuficiencia renal y diálisis después de la administración de la dosis inicial o de una dosis única de ácido zoledrónico. En algunos pacientes con administración crónica de ácido zoledrónico a las dosis recomendadas para prevención de eventos relacionados con el esqueleto también se presentan aumentos de creatinina sérica, aunque con menor frecuencia. </w:t>
      </w:r>
    </w:p>
    <w:p w14:paraId="115A0F2F" w14:textId="77777777" w:rsidR="005004EB" w:rsidRDefault="005004EB" w:rsidP="005004EB">
      <w:r>
        <w:t xml:space="preserve">Antes de cada dosis de Ácido Zoledrónico deberán valorarse los niveles de creatinina sérica de los pacientes. Al inicio del tratamiento de pacientes con metástasis óseas con insuficiencia renal de leve a moderada, se recomiendan dosis más bajas de ácido zoledrónico. En pacientes que muestren evidencia de deterioro renal durante el tratamiento, deberá interrumpirse la administración de Ácido Zoledrónico .Solamente deberá reanudarse el tratamiento con Ácido Zoledrónico cuando la creatinina sérica vuelva a hallarse dentro de un 10% del valor basal. El tratamiento con Ácido Zoledrónico se debe reanudar a la misma dosis administrada antes de la interrupción del tratamiento </w:t>
      </w:r>
    </w:p>
    <w:p w14:paraId="47053200" w14:textId="77777777" w:rsidR="005004EB" w:rsidRDefault="005004EB" w:rsidP="005004EB">
      <w:r>
        <w:t xml:space="preserve">En vista del impacto potencial de los bisfosfonatos incluyendo ácido zoledrónico sobre la función renal, la ausencia de datos clínicos de seguridad en pacientes con insuficiencia renal grave (definida en los ensayos clínicos como creatinina sérica ≥ 400 μmol/L o ≥ 4,5 mg/dL para pacientes con HIT y ≥ 265 μmol/L o ≥ 3,0 mg/dL para pacientes con cáncer y metástasis óseas, respectivamente) a nivel basal y los limitados datos de farmacocinética en pacientes con insuficiencia renal grave a nivel basal (aclaramiento de creatinina &lt; 30 mL/min), no se recomienda el uso de Ácido Zoledrónico en pacientes con insuficiencia renal grave. </w:t>
      </w:r>
    </w:p>
    <w:p w14:paraId="2D5BFF1F" w14:textId="77777777" w:rsidR="005004EB" w:rsidRDefault="005004EB" w:rsidP="005004EB">
      <w:r>
        <w:t xml:space="preserve">Insuficiencia hepática </w:t>
      </w:r>
    </w:p>
    <w:p w14:paraId="3D5708ED" w14:textId="77777777" w:rsidR="005004EB" w:rsidRDefault="005004EB" w:rsidP="005004EB">
      <w:r>
        <w:t xml:space="preserve">Dado que sólo se dispone de datos clínicos limitados en pacientes con insuficiencia hepática grave, no pueden darse recomendaciones específicas para esta población de pacientes. </w:t>
      </w:r>
    </w:p>
    <w:p w14:paraId="4EFE3C92" w14:textId="77777777" w:rsidR="005004EB" w:rsidRDefault="005004EB" w:rsidP="005004EB">
      <w:r>
        <w:t xml:space="preserve">Osteonecrosis de mandíbula </w:t>
      </w:r>
    </w:p>
    <w:p w14:paraId="0A668A07" w14:textId="77777777" w:rsidR="005004EB" w:rsidRDefault="005004EB" w:rsidP="005004EB">
      <w:r>
        <w:t>Se ha observado osteonecrosis de mandíbula (ONM) de forma poco frecuente en los ensayos clínicos y en la experiencia post-comercialización en pacientes tratados con ácido zoledrónico.</w:t>
      </w:r>
    </w:p>
    <w:p w14:paraId="1AC9F1FB" w14:textId="77777777" w:rsidR="005004EB" w:rsidRDefault="005004EB" w:rsidP="005004EB">
      <w:r>
        <w:t xml:space="preserve">Se debe retrasar el inicio del tratamiento o de un nuevo ciclo de tratamiento en pacientes con lesiones abiertas en los tejidos blandos sin cicatrizar en la boca, excepto en situaciones que supongan una urgencia médica. </w:t>
      </w:r>
    </w:p>
    <w:p w14:paraId="5054EFF1" w14:textId="77777777" w:rsidR="005004EB" w:rsidRDefault="005004EB" w:rsidP="005004EB">
      <w:r>
        <w:t xml:space="preserve">Se deben considerar los siguientes factores de riesgo al evaluar el riesgo individual de desarrollar ONM: </w:t>
      </w:r>
    </w:p>
    <w:p w14:paraId="6585CE82" w14:textId="77777777" w:rsidR="005004EB" w:rsidRDefault="005004EB" w:rsidP="005004EB">
      <w:r>
        <w:t xml:space="preserve">-Potencia del bifosfonato (mayor riesgo para los compuestos más potentes), via de administración (mayor riesgo para la administración parenteral) y dosis acumulada de bifosfonato. </w:t>
      </w:r>
    </w:p>
    <w:p w14:paraId="595048E3" w14:textId="77777777" w:rsidR="005004EB" w:rsidRDefault="005004EB" w:rsidP="005004EB">
      <w:r>
        <w:t xml:space="preserve">-Cáncer, condiciones co-mórbidas (p. ej. anemia, coagulopatías, infección), paciente fumador. </w:t>
      </w:r>
    </w:p>
    <w:p w14:paraId="7809095F" w14:textId="77777777" w:rsidR="005004EB" w:rsidRDefault="005004EB" w:rsidP="005004EB">
      <w:r>
        <w:t xml:space="preserve">-Tratamientos concomitantes: quimioterapia, inhibidores de la angiogénesis (ver Interacciones  con Medicamnetos y Alimentos), radioterapia en cabeza y cuello, corticosteroides. </w:t>
      </w:r>
    </w:p>
    <w:p w14:paraId="0DB98AB5" w14:textId="77777777" w:rsidR="005004EB" w:rsidRDefault="005004EB" w:rsidP="005004EB">
      <w:r>
        <w:t xml:space="preserve">-Antecedentes de enfermedad dental, higiene bucal deficiente, enfermedad periodontal, procedimientos dentales invasivos (p.ej extracciones dentales) y dentaduras postizas mal ajustadas </w:t>
      </w:r>
    </w:p>
    <w:p w14:paraId="220B0BB6" w14:textId="77777777" w:rsidR="005004EB" w:rsidRDefault="005004EB" w:rsidP="005004EB">
      <w:r>
        <w:t xml:space="preserve">Se debe recomendar a todos los pacientes que mantengan una buena higiene bucal, que se sometan a chequeos dentales rutinarios y que notifiquen inmediatamente cualquier síntoma bucal, tales como, movilidad dental, dolor o hinchazón, o dificultad en la curación de las úlceras o secreción durante el tratamiento con Ácido Zoledrónico. Durante el tratamiento, se deben realizar los procedimientos dentales invasivos sólo después de una valoración cuidadosa y se debe evitar realizarlos próximo a la administración de ácido zoledrónico. </w:t>
      </w:r>
    </w:p>
    <w:p w14:paraId="1CCD034F" w14:textId="77777777" w:rsidR="005004EB" w:rsidRDefault="005004EB" w:rsidP="005004EB">
      <w:r>
        <w:t xml:space="preserve">La cirugía dental puede agravar la situación en pacientes que desarrollen osteonecrosis de mandíbula durante la terapia con bifosfonatos. No hay datos disponibles que indiquen si la interrupción del tratamiento con bifosfonatos reduce el riesgo de osteonecrosis de mandíbula en pacientes que precisen procesos dentales. </w:t>
      </w:r>
    </w:p>
    <w:p w14:paraId="0004BE67" w14:textId="77777777" w:rsidR="005004EB" w:rsidRDefault="005004EB" w:rsidP="005004EB">
      <w:r>
        <w:t xml:space="preserve">Se debe establecer el plan de gestión para pacientes que desarrollan ONM en estrecha colaboración entre el médico y un dentista o cirujano oral con experiencia en ONM. </w:t>
      </w:r>
    </w:p>
    <w:p w14:paraId="51091A95" w14:textId="77777777" w:rsidR="005004EB" w:rsidRDefault="005004EB" w:rsidP="005004EB">
      <w:r>
        <w:t xml:space="preserve">Siempre que sea posible, se debe considerar la interrupción temporal del tratamiento con ácido zoledrónico hasta que esta situación se resuelva y se mitiguen los factores de riesgo que contribuyen. </w:t>
      </w:r>
    </w:p>
    <w:p w14:paraId="654DA390" w14:textId="77777777" w:rsidR="005004EB" w:rsidRDefault="005004EB" w:rsidP="005004EB">
      <w:r>
        <w:t xml:space="preserve">Osteonecrosis de otras localizaciones anatómicas </w:t>
      </w:r>
    </w:p>
    <w:p w14:paraId="6E88C66B" w14:textId="77777777" w:rsidR="005004EB" w:rsidRDefault="005004EB" w:rsidP="005004EB">
      <w:r>
        <w:t xml:space="preserve">Se han notificado casos de osteonecrosis del conducto auditivo externo con el uso de bisfosfonatos, principalmente asociado con tratamientos de larga duración. Los posibles factores de riesgo de osteonecrosis del conducto auditivo externo incluyen el uso de esteroides y la quimioterapia; existen también factores de riesgo locales como infección o traumatismo. Debe tenerse en cuenta la posibilidad de osteonecrosis del conducto auditivo externo en pacientes que reciben bisfosfonatos y presentan síntomas auditivos como infecciones de oído crónicas. </w:t>
      </w:r>
    </w:p>
    <w:p w14:paraId="1030E16C" w14:textId="77777777" w:rsidR="005004EB" w:rsidRDefault="005004EB" w:rsidP="005004EB">
      <w:r>
        <w:t xml:space="preserve">Además, se han notificado informes esporádicos de osteonecrosis en otras localizaciones, incluyendo la cadera y el fémur, notificadas de forma principal en pacientes adultos con cáncer tratados con Ácido Zoledrónico. </w:t>
      </w:r>
    </w:p>
    <w:p w14:paraId="3E44AB1A" w14:textId="77777777" w:rsidR="005004EB" w:rsidRDefault="005004EB" w:rsidP="005004EB">
      <w:r>
        <w:t xml:space="preserve">Dolor músculoesquelético </w:t>
      </w:r>
    </w:p>
    <w:p w14:paraId="6B64C721" w14:textId="77777777" w:rsidR="005004EB" w:rsidRDefault="005004EB" w:rsidP="005004EB">
      <w:r>
        <w:t xml:space="preserve">En la experiencia post-comercialización, se han notificado casos de dolor óseo, articular y muscular grave y ocasionalmente incapacitante, en pacientes que toman ácido zoledrónico. Sin embargo, estos informes han sido infrecuentes El tiempo hasta la aparición de los síntomas varió desde un día hasta varios meses tras el inicio del tratamiento. La mayor parte de los pacientes mejoró al suspender el tratamiento. Un subgrupo presentó recurrencia de los síntomas al administrar otra vez ácido zoledrónico u otro bisfosfonato. </w:t>
      </w:r>
    </w:p>
    <w:p w14:paraId="14383028" w14:textId="77777777" w:rsidR="005004EB" w:rsidRDefault="005004EB" w:rsidP="005004EB">
      <w:r>
        <w:t xml:space="preserve">Fracturas atípicas de fémur </w:t>
      </w:r>
    </w:p>
    <w:p w14:paraId="4A9C290D" w14:textId="77777777" w:rsidR="005004EB" w:rsidRDefault="005004EB" w:rsidP="005004EB">
      <w:r>
        <w:t xml:space="preserve">Se han notificado casos de fracturas atípicas subtrocantéricas y diafisarias del fémur asociadas al tratamiento con bisfosfonatos, principalmente en pacientes en tratamiento prolongado para la osteoporosis. Estas fracturas transversales u oblicuas cortas pueden ocurrir en cualquier parte a lo largo del fémur, desde justo debajo del trocánter menor hasta justo por encima de la cresta supracondílea. Estas fracturas se producen después de un traumatismo mínimo o en ausencia de él y algunos pacientes tienen dolor en el muslo o en la ingle, a menudo asociado con imágenes características de fracturas por sobrecarga, semanas a meses antes de que se presente la fractura femoral completa. Las fracturas son generalmente bilaterales; por lo tanto, el fémur del lado opuesto debe ser examinado en los pacientes tratados con bisfosfonatos que hayan tenido una fractura de la diáfisis femoral. También se ha notificado un bajo índice de consolidación de estas fracturas. Debe considerarse la interrupción del tratamiento con bisfosfonatos, valorando de forma individualizada el balance beneficio/riesgo, en aquellos pacientes en los que exista sospecha de fractura atípica de fémur pendiente de evaluación. </w:t>
      </w:r>
    </w:p>
    <w:p w14:paraId="63DFAC3D" w14:textId="77777777" w:rsidR="005004EB" w:rsidRDefault="005004EB" w:rsidP="005004EB">
      <w:r>
        <w:t>Durante el tratamiento con bisfosfonatos debe advertirse a los pacientes que notifiquen cualquier dolor en el muslo, cadera o ingle. En cualquier paciente que presente dichos síntomas deberá valorarse si existe una fractura de fémur incompleta.</w:t>
      </w:r>
    </w:p>
    <w:p w14:paraId="16DF9C2B" w14:textId="77777777" w:rsidR="005004EB" w:rsidRDefault="005004EB" w:rsidP="005004EB"/>
    <w:p w14:paraId="1B76E8B4" w14:textId="77777777" w:rsidR="005004EB" w:rsidRDefault="005004EB" w:rsidP="005004EB">
      <w:r>
        <w:t>REACCIONES ADVERSAS Y EFECTOS COLATERALES:</w:t>
      </w:r>
    </w:p>
    <w:p w14:paraId="3BC9F504" w14:textId="77777777" w:rsidR="005004EB" w:rsidRDefault="005004EB" w:rsidP="005004EB">
      <w:r>
        <w:t xml:space="preserve">Resumen del perfil de seguridad </w:t>
      </w:r>
    </w:p>
    <w:p w14:paraId="4DC97A10" w14:textId="77777777" w:rsidR="005004EB" w:rsidRDefault="005004EB" w:rsidP="005004EB">
      <w:r>
        <w:t xml:space="preserve">En los tres días posteriores a la administración de ácido zoledrónico, se ha notificado de forma frecuente una reacción de fase aguda, con síntomas que incluyen dolor óseo, fiebre, fatiga, artralgia, mialgia y escalofríos; estos síntomas habitualmente se resuelven en pocos días (ver descripción de las reacciones adversas seleccionadas). </w:t>
      </w:r>
    </w:p>
    <w:p w14:paraId="455C88F6" w14:textId="77777777" w:rsidR="005004EB" w:rsidRDefault="005004EB" w:rsidP="005004EB">
      <w:r>
        <w:t xml:space="preserve">Los siguientes riesgos importantes son los que se han identificado con ácido zoledrónico en las indicaciones autorizadas: </w:t>
      </w:r>
    </w:p>
    <w:p w14:paraId="09FF1458" w14:textId="77777777" w:rsidR="005004EB" w:rsidRDefault="005004EB" w:rsidP="005004EB">
      <w:r>
        <w:t xml:space="preserve">Alteración de la función renal, osteonecrosis de la mandíbula, reacción de fase aguda, hipocalcemia, efectos adversos oculares, fibrilación auricular, anafilaxis. En la Tabla 1 se muestran las frecuencias para cada uno de estos riesgos identificados. </w:t>
      </w:r>
    </w:p>
    <w:p w14:paraId="19BC38AE" w14:textId="77777777" w:rsidR="005004EB" w:rsidRDefault="005004EB" w:rsidP="005004EB">
      <w:r>
        <w:t xml:space="preserve">Lista tabulada de reacciones adversas </w:t>
      </w:r>
    </w:p>
    <w:p w14:paraId="64D73457" w14:textId="77777777" w:rsidR="005004EB" w:rsidRDefault="005004EB" w:rsidP="005004EB">
      <w:r>
        <w:t>Las siguientes reacciones adversas, relacionadas en la Tabla 1 se han recopilado de los ensayos clínicos y de las notificaciones post-comercialización, principalmente tras el tratamiento crónico con 4 mg de ácido zoledrónico:</w:t>
      </w:r>
    </w:p>
    <w:p w14:paraId="2EFFD23C" w14:textId="77777777" w:rsidR="005004EB" w:rsidRDefault="005004EB" w:rsidP="005004EB">
      <w:r>
        <w:t xml:space="preserve">Tabla 1 </w:t>
      </w:r>
    </w:p>
    <w:p w14:paraId="27311F77" w14:textId="77777777" w:rsidR="005004EB" w:rsidRDefault="005004EB" w:rsidP="005004EB">
      <w:r>
        <w:t>Las reacciones adversas están agrupadas por frecuencias, la más frecuente primero, utilizando la siguiente convención: Muy frecuentes (≥1/10), frecuentes (≥1/100 a &lt;1/10), poco frecuentes (≥1/1.000 a &lt;1/100), raras (≥1/10.000 a &lt;1/1.000), muy raras (&lt;1/10.000), frecuencia no conocida (no puede estimarse a partir de los datos disponibles).</w:t>
      </w:r>
    </w:p>
    <w:p w14:paraId="2290DFA4" w14:textId="5BD1FAF6" w:rsidR="005004EB" w:rsidRDefault="005004EB" w:rsidP="005004EB">
      <w:r>
        <w:object w:dxaOrig="4219" w:dyaOrig="2784" w14:anchorId="02C7F6FD">
          <v:shape id="_x0000_i1026" type="#_x0000_t75" style="width:211.5pt;height:139.5pt" o:ole="">
            <v:imagedata r:id="rId6" o:title=""/>
          </v:shape>
          <o:OLEObject Type="Embed" ProgID="CorelDraw.Graphic.17" ShapeID="_x0000_i1026" DrawAspect="Content" ObjectID="_1684914130" r:id="rId7"/>
        </w:object>
      </w:r>
    </w:p>
    <w:p w14:paraId="2195A036" w14:textId="7CEB295C" w:rsidR="005004EB" w:rsidRDefault="005004EB" w:rsidP="005004EB">
      <w:r>
        <w:object w:dxaOrig="4219" w:dyaOrig="6684" w14:anchorId="7D428B69">
          <v:shape id="_x0000_i1027" type="#_x0000_t75" style="width:211.5pt;height:334.5pt" o:ole="">
            <v:imagedata r:id="rId8" o:title=""/>
          </v:shape>
          <o:OLEObject Type="Embed" ProgID="CorelDraw.Graphic.17" ShapeID="_x0000_i1027" DrawAspect="Content" ObjectID="_1684914131" r:id="rId9"/>
        </w:object>
      </w:r>
    </w:p>
    <w:p w14:paraId="2AE04E07" w14:textId="77777777" w:rsidR="005004EB" w:rsidRDefault="005004EB" w:rsidP="005004EB"/>
    <w:p w14:paraId="5F53F4AB" w14:textId="77777777" w:rsidR="005004EB" w:rsidRDefault="005004EB" w:rsidP="005004EB">
      <w:r>
        <w:t xml:space="preserve">Descripción de las reacciones adversas seleccionadas </w:t>
      </w:r>
    </w:p>
    <w:p w14:paraId="32DE2681" w14:textId="77777777" w:rsidR="005004EB" w:rsidRDefault="005004EB" w:rsidP="005004EB">
      <w:r>
        <w:t xml:space="preserve">Alteración de la función renal </w:t>
      </w:r>
    </w:p>
    <w:p w14:paraId="0F77E94D" w14:textId="77777777" w:rsidR="005004EB" w:rsidRDefault="005004EB" w:rsidP="005004EB">
      <w:r>
        <w:t xml:space="preserve">Ácido Zoledrónico se ha asociado con notificaciones de alteración renal. El potencial deterioro de la función renal puede aumentar por factores que incluyen deshidratación, insuficiencia renal preexistente, ciclos múltiples de ácido zoledrónico u otros bisfosfonatos, así como un uso concomitante de medicamentos nefrotóxicos o un tiempo de perfusión más corto del actualmente recomendado. Se han notificado casos de deterioro renal, progresión a insuficiencia renal y diálisis en pacientes después de la dosis inicial o de una dosis única de 4 mg de ácido zoledrónico (ver Precauciones y Advertencias). </w:t>
      </w:r>
    </w:p>
    <w:p w14:paraId="063DD890" w14:textId="77777777" w:rsidR="005004EB" w:rsidRDefault="005004EB" w:rsidP="005004EB">
      <w:r>
        <w:t xml:space="preserve">Osteonecrosis de la mandíbula </w:t>
      </w:r>
    </w:p>
    <w:p w14:paraId="0DA9B886" w14:textId="77777777" w:rsidR="005004EB" w:rsidRDefault="005004EB" w:rsidP="005004EB">
      <w:r>
        <w:t xml:space="preserve">Se han descrito casos de osteonecrosis de las mandíbulas predominantemente en pacientes con cáncer tratados con medicamentos que inhiben la resorción ósea, como Ácido Zoledrónico (ver Precauciones y Advertencias). Muchos de estos pacientes también recibían tratamiento con quimioterapia y corticosteroides y presentaron signos de infección local incluyendo osteomielitis. La mayoría de los informes hacen referencia a pacientes con cáncer tras una extracción dentaria u otras cirugías dentales. </w:t>
      </w:r>
    </w:p>
    <w:p w14:paraId="4318A699" w14:textId="77777777" w:rsidR="005004EB" w:rsidRDefault="005004EB" w:rsidP="005004EB">
      <w:r>
        <w:t xml:space="preserve">Fibrilación auricular </w:t>
      </w:r>
    </w:p>
    <w:p w14:paraId="23BC2515" w14:textId="77777777" w:rsidR="005004EB" w:rsidRDefault="005004EB" w:rsidP="005004EB">
      <w:r>
        <w:t xml:space="preserve">En un ensayo clínico controlado, doble ciego, aleatorizado y de 3 años de duración que evaluó la eficacia y la seguridad de 5 mg de ácido zoledrónico administrados una vez al año frente a placebo en el tratamiento de la osteoporosis postmenopáusica (OPM), la incidencia global de fibrilación auricular en pacientes que recibieron 5 mg de ácido zoledrónico y placebo fue de un 2,5% (96 de 3.862) y de un 1,9% (75 de 3.852), respectivamente. La proporción de reacciones adversas graves de fibrilación auricular fue de 1,3% (51 de 3.862) y de 0,6% (22 de 3.852) en pacientes que recibieron 5 mg de ácido zoledrónico y placebo, respectivamente. La diferencia observada en este ensayo no se ha observado en otros ensayos con ácido zoledrónico, incluyendo los ensayos con ácido zoledrónico 4 mg, administrado cada 3-4 semanas en pacientes oncológicos. Se desconoce el mecanismo causante del aumento de la incidencia de fibrilación auricular en este ensayo clínico en particular. </w:t>
      </w:r>
    </w:p>
    <w:p w14:paraId="03E766E2" w14:textId="77777777" w:rsidR="005004EB" w:rsidRDefault="005004EB" w:rsidP="005004EB">
      <w:r>
        <w:t xml:space="preserve">Reacción de fase aguda </w:t>
      </w:r>
    </w:p>
    <w:p w14:paraId="5F628DD1" w14:textId="77777777" w:rsidR="005004EB" w:rsidRDefault="005004EB" w:rsidP="005004EB">
      <w:r>
        <w:t xml:space="preserve">Esta reacción adversa al fármaco consiste en un grupo de síntomas que incluyen fiebre, mialgia, cefalea, dolor en las extremidades, náuseas, vómitos, diarrea y artralgia. El tiempo de inicio es ≤ 3 días tras la perfusión de ácido zoledrónico, y la reacción también se describe con los términos de síntomas “similares a la gripe” o “post-administración”. </w:t>
      </w:r>
    </w:p>
    <w:p w14:paraId="62E78116" w14:textId="77777777" w:rsidR="005004EB" w:rsidRDefault="005004EB" w:rsidP="005004EB">
      <w:r>
        <w:t xml:space="preserve">Fracturas atípicas del fémur </w:t>
      </w:r>
    </w:p>
    <w:p w14:paraId="665013FD" w14:textId="77777777" w:rsidR="005004EB" w:rsidRDefault="005004EB" w:rsidP="005004EB">
      <w:r>
        <w:t>Durante la experiencia postcomercialización se han notificado las siguientes reacciones adversas (frecuencia rara): Fracturas atípicas subtrocantéricas y diafisarias del fémur (reacción adversa de clase de los bisfosfonatos).</w:t>
      </w:r>
    </w:p>
    <w:p w14:paraId="291BB970" w14:textId="77777777" w:rsidR="005004EB" w:rsidRDefault="005004EB" w:rsidP="005004EB">
      <w:r>
        <w:t>Notificación de sospechas de reacciones adversas:</w:t>
      </w:r>
    </w:p>
    <w:p w14:paraId="27A5C013" w14:textId="77777777" w:rsidR="005004EB" w:rsidRDefault="005004EB" w:rsidP="005004EB">
      <w:r>
        <w:t>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Sistema de Farmacovigilancia: farmacovigilancia@quimfa.com.py</w:t>
      </w:r>
    </w:p>
    <w:p w14:paraId="1CC67032" w14:textId="77777777" w:rsidR="005004EB" w:rsidRDefault="005004EB" w:rsidP="005004EB"/>
    <w:p w14:paraId="03CAF919" w14:textId="77777777" w:rsidR="005004EB" w:rsidRDefault="005004EB" w:rsidP="005004EB">
      <w:r>
        <w:t xml:space="preserve">INTERACCIONES CON MEDICAMENTOS Y ALIMENTOS: </w:t>
      </w:r>
    </w:p>
    <w:p w14:paraId="1CC2D9C6" w14:textId="77777777" w:rsidR="005004EB" w:rsidRDefault="005004EB" w:rsidP="005004EB">
      <w:r>
        <w:t xml:space="preserve">En ensayos clínicos, ácido zoledrónico se ha administrado simultáneamente con agentes anticancerosos, diuréticos, antibióticos y analgésicos utilizados comúnmente sin que ocurrieran interacciones clínicamente evidentes. In vitro, el ácido zoledrónico no se une considerablemente a proteínas plasmáticas y no inhibe las enzimas humanas del citocromo P450 (ver Propiedades Farmacineticas), aunque no se han realizado ensayos clínicos estrictos de interacciones. </w:t>
      </w:r>
    </w:p>
    <w:p w14:paraId="7A29426A" w14:textId="77777777" w:rsidR="005004EB" w:rsidRDefault="005004EB" w:rsidP="005004EB">
      <w:r>
        <w:t xml:space="preserve">Se recomienda precaución cuando se administran bisfosfonatos con aminoglucósidos, dado que ambos agentes pueden ejercer un efecto aditivo, dando como resultado una menor concentración de calcio sérico durante periodos más largos de los necesarios. </w:t>
      </w:r>
    </w:p>
    <w:p w14:paraId="1BE5D346" w14:textId="77777777" w:rsidR="005004EB" w:rsidRDefault="005004EB" w:rsidP="005004EB">
      <w:r>
        <w:t xml:space="preserve">Se recomienda precaución cuando se utilice Ácido Zoledrónico junto con otros fármacos potencialmente nefrotóxicos. También debe prestarse atención a la posibilidad de que se desarrolle hipomagnesemia durante el tratamiento. </w:t>
      </w:r>
    </w:p>
    <w:p w14:paraId="5AE6D428" w14:textId="77777777" w:rsidR="005004EB" w:rsidRDefault="005004EB" w:rsidP="005004EB">
      <w:r>
        <w:t>En los pacientes con mieloma múltiple, el riesgo de disfunción renal puede verse aumentado cuando se administre Ácido Zoledrónico en combinación con talidomida.</w:t>
      </w:r>
    </w:p>
    <w:p w14:paraId="6465F76B" w14:textId="77777777" w:rsidR="005004EB" w:rsidRDefault="005004EB" w:rsidP="005004EB"/>
    <w:p w14:paraId="36D1AB7F" w14:textId="77777777" w:rsidR="005004EB" w:rsidRDefault="005004EB" w:rsidP="005004EB">
      <w:r>
        <w:t>SOBREDOSIFICACIÓN:</w:t>
      </w:r>
    </w:p>
    <w:p w14:paraId="24AD08FF" w14:textId="77777777" w:rsidR="005004EB" w:rsidRDefault="005004EB" w:rsidP="005004EB">
      <w:r>
        <w:t>La experiencia clínica sobre la sobredosis con ácido zoledrónico es limitada. Se ha notificado la administración de dosis de hasta 48 mg de ácido zoledrónico por error. Los pacientes que han recibido dosis superiores a las recomendadas (ver Posologia y Modo de Uso) deben someterse a una monitorización estrecha, dado que se han observado alteración de la función renal (incluyendo insuficiencia renal) y valores anómalos de los electrolitos séricos (incluyendo calcio, fósforo y magnesio). Si se produce una hipocalcemia, debe administrarse perfusiones de gluconato cálcico, según criterio clínico En caso de sobredosis o ingesta accidental, consultar al Servicio de Toxicología del Hospital de EMERGENCIAS MEDICAS  Tel.: 220-418 o el 204-800 (int. 011).</w:t>
      </w:r>
    </w:p>
    <w:p w14:paraId="1D3EDAA8" w14:textId="77777777" w:rsidR="005004EB" w:rsidRDefault="005004EB" w:rsidP="005004EB"/>
    <w:p w14:paraId="0F572578" w14:textId="77777777" w:rsidR="005004EB" w:rsidRDefault="005004EB" w:rsidP="005004EB">
      <w:r>
        <w:t>RESTRICCIÓNES DE USO:</w:t>
      </w:r>
    </w:p>
    <w:p w14:paraId="1D45162E" w14:textId="77777777" w:rsidR="005004EB" w:rsidRDefault="005004EB" w:rsidP="005004EB">
      <w:r>
        <w:t xml:space="preserve">Embarazo </w:t>
      </w:r>
    </w:p>
    <w:p w14:paraId="7E70B547" w14:textId="77777777" w:rsidR="005004EB" w:rsidRDefault="005004EB" w:rsidP="005004EB">
      <w:r>
        <w:t xml:space="preserve">No existen datos suficientes sobre la utilización de ácido zoledrónico en mujeres embarazadas. Estudios de reproducción en animales con ácido zoledrónico han mostrado toxicidad reproductiva (ver Datos preclinicos de Seguridad). Se desconoce el riesgo en seres humanos. Ácido Zoledrónico. no debe utilizarse durante el embarazo. </w:t>
      </w:r>
    </w:p>
    <w:p w14:paraId="44E76B70" w14:textId="77777777" w:rsidR="005004EB" w:rsidRDefault="005004EB" w:rsidP="005004EB">
      <w:r>
        <w:t xml:space="preserve">Lactancia </w:t>
      </w:r>
    </w:p>
    <w:p w14:paraId="7D119142" w14:textId="77777777" w:rsidR="005004EB" w:rsidRDefault="005004EB" w:rsidP="005004EB">
      <w:r>
        <w:t xml:space="preserve">Se desconoce si el ácido zoledrónico se excreta en la leche materna. Ácido Zoledrónico está contraindicado en mujeres en periodo de lactancia (ver Contraindicaciones). </w:t>
      </w:r>
    </w:p>
    <w:p w14:paraId="25FE8E8F" w14:textId="77777777" w:rsidR="005004EB" w:rsidRDefault="005004EB" w:rsidP="005004EB">
      <w:r>
        <w:t xml:space="preserve">Fertilidad </w:t>
      </w:r>
    </w:p>
    <w:p w14:paraId="31AFC7E9" w14:textId="77777777" w:rsidR="005004EB" w:rsidRDefault="005004EB" w:rsidP="005004EB">
      <w:r>
        <w:t xml:space="preserve">Se estudió el ácido zoledrónico en ratas para evaluar los potenciales efectos adversos sobre la fertilidad de la generación parental y la F1. Esto provocó unos efectos farmacológicos exagerados que se consideraron relacionados con la inhibición del metabolismo cálcico óseo debida al producto, que dio lugar a hipocalcemia periparturienta, un efecto de clase de los bisfosfonatos, distocia y finalización temprana del estudio. Por lo tanto, estos resultados impiden determinar un efecto claro del ácido zoledrónico sobre la fertilidad en humanos. </w:t>
      </w:r>
    </w:p>
    <w:p w14:paraId="3F9505D1" w14:textId="77777777" w:rsidR="005004EB" w:rsidRDefault="005004EB" w:rsidP="005004EB">
      <w:r>
        <w:t xml:space="preserve">Efectos sobre la capacidad para conducir y utilizar máquinas </w:t>
      </w:r>
    </w:p>
    <w:p w14:paraId="530D0A67" w14:textId="77777777" w:rsidR="005004EB" w:rsidRDefault="005004EB" w:rsidP="005004EB">
      <w:r>
        <w:t>Las reacciones adversas como mareo y somnolencia pueden tener influencia sobre la capacidad para conducir o utilizar máquinas, por lo tanto, se debe tener precaución con el uso de Ácido Zoledrónico en la conducción y utilización de máquinas.</w:t>
      </w:r>
    </w:p>
    <w:p w14:paraId="3654E557" w14:textId="77777777" w:rsidR="005004EB" w:rsidRDefault="005004EB" w:rsidP="005004EB"/>
    <w:p w14:paraId="71EEFEDD" w14:textId="77777777" w:rsidR="005004EB" w:rsidRDefault="005004EB" w:rsidP="005004EB">
      <w:r>
        <w:t xml:space="preserve">CONSERVACIÓN: </w:t>
      </w:r>
    </w:p>
    <w:p w14:paraId="78B45054" w14:textId="77777777" w:rsidR="005004EB" w:rsidRDefault="005004EB" w:rsidP="005004EB">
      <w:r>
        <w:t>Almacenar a temperatura entre 15° y 30 °C.</w:t>
      </w:r>
    </w:p>
    <w:p w14:paraId="387AA405" w14:textId="77777777" w:rsidR="005004EB" w:rsidRDefault="005004EB" w:rsidP="005004EB"/>
    <w:p w14:paraId="53F3373F" w14:textId="77777777" w:rsidR="005004EB" w:rsidRDefault="005004EB" w:rsidP="005004EB">
      <w:r>
        <w:t>PRESENTACION</w:t>
      </w:r>
    </w:p>
    <w:p w14:paraId="349B4727" w14:textId="77777777" w:rsidR="005004EB" w:rsidRDefault="005004EB" w:rsidP="005004EB">
      <w:r>
        <w:t>Caja conteniendo 1 Frasco Vial con Polvo Liofilizado + 1 Ampolla con Solvente x 5 mL.</w:t>
      </w:r>
    </w:p>
    <w:p w14:paraId="44055FC9" w14:textId="77777777" w:rsidR="005004EB" w:rsidRDefault="005004EB" w:rsidP="005004EB"/>
    <w:p w14:paraId="1D3879D7" w14:textId="77777777" w:rsidR="005004EB" w:rsidRDefault="005004EB" w:rsidP="005004EB">
      <w:r>
        <w:t>Este medicamento debe ser utilizado únicamente por prescripción médica y no podrá repetirse sin nueva indicación del facultativo. En caso de uso de este medicamento sin prescripción médica, la ocurrencia de efectos adversos e indeseables será de exclusiva responsabilidad de quién lo consuma.</w:t>
      </w:r>
    </w:p>
    <w:p w14:paraId="1AA6DC17" w14:textId="77777777" w:rsidR="005004EB" w:rsidRDefault="005004EB" w:rsidP="005004EB">
      <w:r>
        <w:t>Si Ud. es deportista y está sometido a control de doping, no consuma estos productos sin consultar a su médico.</w:t>
      </w:r>
    </w:p>
    <w:p w14:paraId="0E560D90" w14:textId="77777777" w:rsidR="005004EB" w:rsidRDefault="005004EB" w:rsidP="005004EB"/>
    <w:p w14:paraId="1653116D" w14:textId="77777777" w:rsidR="005004EB" w:rsidRDefault="005004EB" w:rsidP="005004EB">
      <w:r>
        <w:t>D.T.: Q.F. Laura Ramírez</w:t>
      </w:r>
    </w:p>
    <w:p w14:paraId="0BD03A59" w14:textId="77777777" w:rsidR="005004EB" w:rsidRDefault="005004EB" w:rsidP="005004EB">
      <w:r>
        <w:t>Reg. Prof. N° 4.142</w:t>
      </w:r>
    </w:p>
    <w:p w14:paraId="4E5B2134" w14:textId="77777777" w:rsidR="005004EB" w:rsidRDefault="005004EB" w:rsidP="005004EB">
      <w:r>
        <w:t>Autorizado por D.N.V.S. del M.S.P. y B.S</w:t>
      </w:r>
    </w:p>
    <w:p w14:paraId="19159C90" w14:textId="77777777" w:rsidR="005004EB" w:rsidRDefault="005004EB" w:rsidP="005004EB"/>
    <w:p w14:paraId="6D23FD87" w14:textId="77777777" w:rsidR="005004EB" w:rsidRDefault="005004EB" w:rsidP="005004EB"/>
    <w:p w14:paraId="18C20D3F" w14:textId="77777777" w:rsidR="005004EB" w:rsidRDefault="005004EB" w:rsidP="005004EB"/>
    <w:p w14:paraId="6782DE42" w14:textId="77777777" w:rsidR="005004EB" w:rsidRDefault="005004EB" w:rsidP="005004EB">
      <w:r>
        <w:t xml:space="preserve">MANTENER FUERA DEL ALCANCE DE LOS NIÑOS </w:t>
      </w:r>
    </w:p>
    <w:p w14:paraId="229588E8" w14:textId="77777777" w:rsidR="005004EB" w:rsidRDefault="005004EB" w:rsidP="005004EB"/>
    <w:p w14:paraId="73755B75" w14:textId="77777777" w:rsidR="001562FC" w:rsidRDefault="001562FC"/>
    <w:sectPr w:rsidR="001562F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4EB"/>
    <w:rsid w:val="001562FC"/>
    <w:rsid w:val="005004EB"/>
    <w:rsid w:val="00552FBC"/>
    <w:rsid w:val="00B61E7F"/>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AD76E21"/>
  <w15:chartTrackingRefBased/>
  <w15:docId w15:val="{8EDBB8CB-2F65-45F2-8259-98423807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5416</Words>
  <Characters>29794</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admin</cp:lastModifiedBy>
  <cp:revision>2</cp:revision>
  <dcterms:created xsi:type="dcterms:W3CDTF">2021-06-11T14:56:00Z</dcterms:created>
  <dcterms:modified xsi:type="dcterms:W3CDTF">2021-06-11T14:56:00Z</dcterms:modified>
</cp:coreProperties>
</file>