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67" w:rsidRDefault="00E64367" w:rsidP="00E64367">
      <w:pPr>
        <w:pStyle w:val="NormalWeb"/>
      </w:pPr>
      <w:bookmarkStart w:id="0" w:name="_GoBack"/>
      <w:bookmarkEnd w:id="0"/>
      <w:r>
        <w:t xml:space="preserve">LEVOFLOX® </w:t>
      </w:r>
    </w:p>
    <w:p w:rsidR="00E64367" w:rsidRDefault="00E64367" w:rsidP="00E64367">
      <w:pPr>
        <w:pStyle w:val="NormalWeb"/>
      </w:pPr>
      <w:r>
        <w:t>LEVOFLOXACINA 500 mg</w:t>
      </w:r>
    </w:p>
    <w:p w:rsidR="00E64367" w:rsidRDefault="00E64367" w:rsidP="00E64367">
      <w:pPr>
        <w:pStyle w:val="NormalWeb"/>
      </w:pPr>
      <w:r>
        <w:t>FORMULA:</w:t>
      </w:r>
    </w:p>
    <w:p w:rsidR="00E64367" w:rsidRDefault="00E64367" w:rsidP="00E64367">
      <w:pPr>
        <w:pStyle w:val="NormalWeb"/>
      </w:pPr>
      <w:r>
        <w:t xml:space="preserve">Cada </w:t>
      </w:r>
      <w:proofErr w:type="spellStart"/>
      <w:r>
        <w:t>mL</w:t>
      </w:r>
      <w:proofErr w:type="spellEnd"/>
      <w:r>
        <w:t xml:space="preserve"> contiene:</w:t>
      </w:r>
    </w:p>
    <w:p w:rsidR="00E64367" w:rsidRDefault="00E64367" w:rsidP="00E64367">
      <w:pPr>
        <w:pStyle w:val="NormalWeb"/>
      </w:pPr>
      <w:proofErr w:type="spellStart"/>
      <w:r>
        <w:t>Levofloxacina</w:t>
      </w:r>
      <w:proofErr w:type="spellEnd"/>
      <w:r>
        <w:t xml:space="preserve"> (</w:t>
      </w:r>
      <w:proofErr w:type="spellStart"/>
      <w:r>
        <w:t>Equiv</w:t>
      </w:r>
      <w:proofErr w:type="spellEnd"/>
      <w:r>
        <w:t>. a 25,6 mg de</w:t>
      </w:r>
    </w:p>
    <w:p w:rsidR="00E64367" w:rsidRDefault="00E64367" w:rsidP="00E64367">
      <w:pPr>
        <w:pStyle w:val="NormalWeb"/>
      </w:pPr>
      <w:proofErr w:type="spellStart"/>
      <w:proofErr w:type="gramStart"/>
      <w:r>
        <w:t>levofloxacina</w:t>
      </w:r>
      <w:proofErr w:type="spellEnd"/>
      <w:proofErr w:type="gramEnd"/>
      <w:r>
        <w:t xml:space="preserve"> </w:t>
      </w:r>
      <w:proofErr w:type="spellStart"/>
      <w:r>
        <w:t>hemihidrato</w:t>
      </w:r>
      <w:proofErr w:type="spellEnd"/>
      <w:r>
        <w:t>)..............................................25 mg.</w:t>
      </w:r>
    </w:p>
    <w:p w:rsidR="00E64367" w:rsidRDefault="00E64367" w:rsidP="00E64367">
      <w:pPr>
        <w:pStyle w:val="NormalWeb"/>
      </w:pPr>
      <w:r>
        <w:t>Excipientes........................................................................c.s.p.</w:t>
      </w:r>
    </w:p>
    <w:p w:rsidR="00E64367" w:rsidRDefault="00E64367" w:rsidP="00E64367">
      <w:pPr>
        <w:pStyle w:val="NormalWeb"/>
      </w:pPr>
      <w:r>
        <w:t xml:space="preserve">ACCION TERAPEUTICA: </w:t>
      </w:r>
    </w:p>
    <w:p w:rsidR="00E64367" w:rsidRDefault="00E64367" w:rsidP="00E64367">
      <w:pPr>
        <w:pStyle w:val="NormalWeb"/>
      </w:pPr>
      <w:proofErr w:type="spellStart"/>
      <w:r>
        <w:t>Fluoroquinolona</w:t>
      </w:r>
      <w:proofErr w:type="spellEnd"/>
      <w:r>
        <w:t xml:space="preserve"> con efecto antibiótico.</w:t>
      </w:r>
    </w:p>
    <w:p w:rsidR="00E64367" w:rsidRDefault="00E64367" w:rsidP="00E64367">
      <w:pPr>
        <w:pStyle w:val="NormalWeb"/>
      </w:pPr>
      <w:r>
        <w:t>MECANISMO DE ACCION Y DATOS FARMACOCINETICOS:</w:t>
      </w:r>
    </w:p>
    <w:p w:rsidR="00E64367" w:rsidRDefault="00E64367" w:rsidP="00E64367">
      <w:pPr>
        <w:pStyle w:val="NormalWeb"/>
      </w:pPr>
      <w:r>
        <w:t xml:space="preserve">La </w:t>
      </w:r>
      <w:proofErr w:type="spellStart"/>
      <w:r>
        <w:t>Levofloxacina</w:t>
      </w:r>
      <w:proofErr w:type="spellEnd"/>
      <w:r>
        <w:t xml:space="preserve"> es un antibiótico bactericida de amplio espectro de la familia de las </w:t>
      </w:r>
      <w:proofErr w:type="spellStart"/>
      <w:r>
        <w:t>quinolonas</w:t>
      </w:r>
      <w:proofErr w:type="spellEnd"/>
      <w:r>
        <w:t xml:space="preserve">. El mecanismo de acción involucra la unión de esta droga con la </w:t>
      </w:r>
      <w:proofErr w:type="spellStart"/>
      <w:r>
        <w:t>girasa</w:t>
      </w:r>
      <w:proofErr w:type="spellEnd"/>
      <w:r>
        <w:t xml:space="preserve"> del ácido desoxirribonucleico (A.D.N.), enzima responsable de la replicación, transcripción, reparación y recombinación del A.D.N. El resultado final de esta interacción es la inhibición rápida y específica de la síntesis del A.D.N. bacteriano. Se une a proteínas plasmáticas, principalmente a albúmina, sufre un limitado metabolismo en los seres humanos y es excretada como droga sin cambios en la orina. Tratamiento en pacientes desde los 18 años de las siguientes infecciones leves, moderadas o severas originadas por microorganismos susceptibles: Sinusitis bacteriana aguda ocasionada por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,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o </w:t>
      </w:r>
      <w:proofErr w:type="spellStart"/>
      <w:r>
        <w:t>Moraxella</w:t>
      </w:r>
      <w:proofErr w:type="spellEnd"/>
      <w:r>
        <w:t xml:space="preserve"> </w:t>
      </w:r>
      <w:proofErr w:type="spellStart"/>
      <w:r>
        <w:t>catarrhalis</w:t>
      </w:r>
      <w:proofErr w:type="spellEnd"/>
      <w:r>
        <w:t xml:space="preserve">; exacerbación bacteriana aguda de la bronquitis crónica ocasionada por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,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,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,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parainfluenzae</w:t>
      </w:r>
      <w:proofErr w:type="spellEnd"/>
      <w:r>
        <w:t xml:space="preserve"> o </w:t>
      </w:r>
      <w:proofErr w:type="spellStart"/>
      <w:r>
        <w:t>Moraxella</w:t>
      </w:r>
      <w:proofErr w:type="spellEnd"/>
      <w:r>
        <w:t xml:space="preserve"> </w:t>
      </w:r>
      <w:proofErr w:type="spellStart"/>
      <w:r>
        <w:t>catarrhalis</w:t>
      </w:r>
      <w:proofErr w:type="spellEnd"/>
      <w:r>
        <w:t xml:space="preserve">; neumonía nosocomial ocasionada por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</w:t>
      </w:r>
      <w:proofErr w:type="spellStart"/>
      <w:r>
        <w:t>meti</w:t>
      </w:r>
      <w:proofErr w:type="spellEnd"/>
      <w:r>
        <w:t xml:space="preserve">-S,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aeruginosa</w:t>
      </w:r>
      <w:proofErr w:type="spellEnd"/>
      <w:r>
        <w:t xml:space="preserve">, </w:t>
      </w:r>
      <w:proofErr w:type="spellStart"/>
      <w:r>
        <w:t>Serratia</w:t>
      </w:r>
      <w:proofErr w:type="spellEnd"/>
      <w:r>
        <w:t xml:space="preserve"> </w:t>
      </w:r>
      <w:proofErr w:type="spellStart"/>
      <w:r>
        <w:t>marcescens</w:t>
      </w:r>
      <w:proofErr w:type="spellEnd"/>
      <w:r>
        <w:t xml:space="preserve">,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,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,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o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; deberá usarse terapia asociada siguiendo lo indicado por la clínica, y cuando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aeruginosa</w:t>
      </w:r>
      <w:proofErr w:type="spellEnd"/>
      <w:r>
        <w:t xml:space="preserve"> sea el patógeno determinante o presunto se recomienda tratamiento combinado con un </w:t>
      </w:r>
      <w:proofErr w:type="spellStart"/>
      <w:r>
        <w:t>antiseudomónico</w:t>
      </w:r>
      <w:proofErr w:type="spellEnd"/>
      <w:r>
        <w:t xml:space="preserve"> </w:t>
      </w:r>
      <w:proofErr w:type="spellStart"/>
      <w:r>
        <w:t>betalactámico</w:t>
      </w:r>
      <w:proofErr w:type="spellEnd"/>
      <w:r>
        <w:t xml:space="preserve">; neumonía adquirida en la comunidad ocasionada por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,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(inclusive cepas </w:t>
      </w:r>
      <w:proofErr w:type="spellStart"/>
      <w:r>
        <w:t>penicilino</w:t>
      </w:r>
      <w:proofErr w:type="spellEnd"/>
      <w:r>
        <w:t>-resistentes, CIM para Penicilina no inferior a 2mg/</w:t>
      </w:r>
      <w:proofErr w:type="spellStart"/>
      <w:r>
        <w:t>mL</w:t>
      </w:r>
      <w:proofErr w:type="spellEnd"/>
      <w:r>
        <w:t xml:space="preserve">),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,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parainfluenzae</w:t>
      </w:r>
      <w:proofErr w:type="spellEnd"/>
      <w:r>
        <w:t xml:space="preserve">,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, </w:t>
      </w:r>
      <w:proofErr w:type="spellStart"/>
      <w:r>
        <w:t>Moraxella</w:t>
      </w:r>
      <w:proofErr w:type="spellEnd"/>
      <w:r>
        <w:t xml:space="preserve"> </w:t>
      </w:r>
      <w:proofErr w:type="spellStart"/>
      <w:r>
        <w:t>catarrhalis</w:t>
      </w:r>
      <w:proofErr w:type="spellEnd"/>
      <w:r>
        <w:t xml:space="preserve">, Chlamydia </w:t>
      </w:r>
      <w:proofErr w:type="spellStart"/>
      <w:r>
        <w:t>pneumoniae</w:t>
      </w:r>
      <w:proofErr w:type="spellEnd"/>
      <w:r>
        <w:t xml:space="preserve">, </w:t>
      </w:r>
      <w:proofErr w:type="spellStart"/>
      <w:r>
        <w:t>Legionella</w:t>
      </w:r>
      <w:proofErr w:type="spellEnd"/>
      <w:r>
        <w:t xml:space="preserve"> </w:t>
      </w:r>
      <w:proofErr w:type="spellStart"/>
      <w:r>
        <w:t>pneumophila</w:t>
      </w:r>
      <w:proofErr w:type="spellEnd"/>
      <w:r>
        <w:t xml:space="preserve"> o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; infecciones complicadas de la piel y partes blandas ocasionadas por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</w:t>
      </w:r>
      <w:proofErr w:type="spellStart"/>
      <w:r>
        <w:t>meti</w:t>
      </w:r>
      <w:proofErr w:type="spellEnd"/>
      <w:r>
        <w:t xml:space="preserve">-S,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faecalis</w:t>
      </w:r>
      <w:proofErr w:type="spellEnd"/>
      <w:r>
        <w:t xml:space="preserve">,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pyogenes</w:t>
      </w:r>
      <w:proofErr w:type="spellEnd"/>
      <w:r>
        <w:t xml:space="preserve"> o </w:t>
      </w:r>
      <w:proofErr w:type="spellStart"/>
      <w:r>
        <w:t>Proteus</w:t>
      </w:r>
      <w:proofErr w:type="spellEnd"/>
      <w:r>
        <w:t xml:space="preserve"> </w:t>
      </w:r>
      <w:proofErr w:type="spellStart"/>
      <w:r>
        <w:t>mirabilis</w:t>
      </w:r>
      <w:proofErr w:type="spellEnd"/>
      <w:r>
        <w:t xml:space="preserve">; infecciones no complicadas (leves a moderadas) de la piel y de partes blandas, inclusive abscesos, celulitis, forúnculos, impétigo, </w:t>
      </w:r>
      <w:proofErr w:type="spellStart"/>
      <w:r>
        <w:t>pioderma</w:t>
      </w:r>
      <w:proofErr w:type="spellEnd"/>
      <w:r>
        <w:t xml:space="preserve">, infecciones en heridas, ocasionadas por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o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pyogenes</w:t>
      </w:r>
      <w:proofErr w:type="spellEnd"/>
      <w:r>
        <w:t xml:space="preserve">; prostatitis crónica bacteriana ocasionada por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,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faecalis</w:t>
      </w:r>
      <w:proofErr w:type="spellEnd"/>
      <w:r>
        <w:t xml:space="preserve"> o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epidermidis</w:t>
      </w:r>
      <w:proofErr w:type="spellEnd"/>
      <w:r>
        <w:t xml:space="preserve">; infecciones complicadas (leves a moderadas) del tracto urinario ocasionadas por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faecalis</w:t>
      </w:r>
      <w:proofErr w:type="spellEnd"/>
      <w:r>
        <w:t xml:space="preserve">, </w:t>
      </w:r>
      <w:proofErr w:type="spellStart"/>
      <w:r>
        <w:t>Enterobacter</w:t>
      </w:r>
      <w:proofErr w:type="spellEnd"/>
      <w:r>
        <w:t xml:space="preserve"> </w:t>
      </w:r>
      <w:proofErr w:type="spellStart"/>
      <w:r>
        <w:t>cloacae</w:t>
      </w:r>
      <w:proofErr w:type="spellEnd"/>
      <w:r>
        <w:t xml:space="preserve">,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lastRenderedPageBreak/>
        <w:t>coli</w:t>
      </w:r>
      <w:proofErr w:type="spellEnd"/>
      <w:r>
        <w:t xml:space="preserve">,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, </w:t>
      </w:r>
      <w:proofErr w:type="spellStart"/>
      <w:r>
        <w:t>Proteus</w:t>
      </w:r>
      <w:proofErr w:type="spellEnd"/>
      <w:r>
        <w:t xml:space="preserve"> </w:t>
      </w:r>
      <w:proofErr w:type="spellStart"/>
      <w:r>
        <w:t>mirabilis</w:t>
      </w:r>
      <w:proofErr w:type="spellEnd"/>
      <w:r>
        <w:t xml:space="preserve"> o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aeruginosa</w:t>
      </w:r>
      <w:proofErr w:type="spellEnd"/>
      <w:r>
        <w:t xml:space="preserve">; </w:t>
      </w:r>
      <w:proofErr w:type="spellStart"/>
      <w:r>
        <w:t>pielonefritis</w:t>
      </w:r>
      <w:proofErr w:type="spellEnd"/>
      <w:r>
        <w:t xml:space="preserve"> aguda (leve a moderada) ocasionada por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; infecciones no complicadas (leves a moderadas) del tracto urinario ocasionadas por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,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o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saprophyticus</w:t>
      </w:r>
      <w:proofErr w:type="spellEnd"/>
      <w:r>
        <w:t xml:space="preserve">; infecciones </w:t>
      </w:r>
      <w:proofErr w:type="spellStart"/>
      <w:r>
        <w:t>intraabdominales</w:t>
      </w:r>
      <w:proofErr w:type="spellEnd"/>
      <w:r>
        <w:t xml:space="preserve"> leves y localizadas, en asociación con un antibiótico efectivo contra anaerobios; </w:t>
      </w:r>
      <w:proofErr w:type="spellStart"/>
      <w:r>
        <w:t>bacteremia</w:t>
      </w:r>
      <w:proofErr w:type="spellEnd"/>
      <w:r>
        <w:t xml:space="preserve">/sepsis en pacientes con neumonía o infecciones de las vías urinarias, no como tratamiento empírico sino en pacientes con infecciones por gérmenes demostradamente sensibles a </w:t>
      </w:r>
      <w:proofErr w:type="spellStart"/>
      <w:r>
        <w:t>Levofloxacina</w:t>
      </w:r>
      <w:proofErr w:type="spellEnd"/>
      <w:r>
        <w:t xml:space="preserve">, cuando no sean efectivos otros antimicrobianos de espectro más reducido. </w:t>
      </w:r>
    </w:p>
    <w:p w:rsidR="00E64367" w:rsidRDefault="00E64367" w:rsidP="00E64367">
      <w:pPr>
        <w:pStyle w:val="NormalWeb"/>
      </w:pPr>
      <w:r>
        <w:t>INDICACIONES TERAPEUTICAS:</w:t>
      </w:r>
    </w:p>
    <w:p w:rsidR="00E64367" w:rsidRDefault="00E64367" w:rsidP="00E64367">
      <w:pPr>
        <w:pStyle w:val="NormalWeb"/>
      </w:pPr>
      <w:r>
        <w:t xml:space="preserve">Infecciones del tracto respiratorio superior e inferior, incluidas sinusitis, exacerbación aguda de la bronquitis crónica y neumonía. Infecciones de la piel y tejidos blandos (impétigo, abscesos, </w:t>
      </w:r>
      <w:proofErr w:type="spellStart"/>
      <w:r>
        <w:t>furunculosis</w:t>
      </w:r>
      <w:proofErr w:type="spellEnd"/>
      <w:r>
        <w:t>, celulitis y erisipelas). Infecciones del tracto urinario (</w:t>
      </w:r>
      <w:proofErr w:type="spellStart"/>
      <w:r>
        <w:t>pielonefritis</w:t>
      </w:r>
      <w:proofErr w:type="spellEnd"/>
      <w:r>
        <w:t xml:space="preserve"> aguda). Osteomielitis. Artritis séptica. Ulcera córnea causada por bacterias sensibles al fármaco.</w:t>
      </w:r>
    </w:p>
    <w:p w:rsidR="00E64367" w:rsidRDefault="00E64367" w:rsidP="00E64367">
      <w:pPr>
        <w:pStyle w:val="NormalWeb"/>
      </w:pPr>
      <w:r>
        <w:t>POSOLOGIA:</w:t>
      </w:r>
    </w:p>
    <w:p w:rsidR="00E64367" w:rsidRDefault="00E64367" w:rsidP="00E64367">
      <w:pPr>
        <w:pStyle w:val="NormalWeb"/>
      </w:pPr>
      <w:r>
        <w:t xml:space="preserve">Administrar la solución para infusión por vía IV lenta (como mínimo durante 60 minutos para 500 mg); habitualmente es posible cambiar a la vía oral después de unos pocos días, de acuerdo a la evolución. Las formas parenteral y oral son </w:t>
      </w:r>
      <w:proofErr w:type="spellStart"/>
      <w:r>
        <w:t>bioequivalentes</w:t>
      </w:r>
      <w:proofErr w:type="spellEnd"/>
      <w:r>
        <w:t>. Pacientes con insuficiencia renal (</w:t>
      </w:r>
      <w:proofErr w:type="spellStart"/>
      <w:r>
        <w:t>clearance</w:t>
      </w:r>
      <w:proofErr w:type="spellEnd"/>
      <w:r>
        <w:t xml:space="preserve"> de creatinina &lt; 50mL/min): Ver información completa de prescripción. La solución para infusión no debe mezclarse con heparina o soluciones alcalinas. </w:t>
      </w:r>
    </w:p>
    <w:p w:rsidR="00E64367" w:rsidRDefault="00E64367" w:rsidP="00E64367">
      <w:pPr>
        <w:pStyle w:val="NormalWeb"/>
      </w:pPr>
      <w:r>
        <w:t>CONTRAINDICACIONES:</w:t>
      </w:r>
    </w:p>
    <w:p w:rsidR="00E64367" w:rsidRDefault="00E64367" w:rsidP="00E64367">
      <w:pPr>
        <w:pStyle w:val="NormalWeb"/>
      </w:pPr>
      <w:r>
        <w:t xml:space="preserve">Hipersensibilidad a </w:t>
      </w:r>
      <w:proofErr w:type="spellStart"/>
      <w:r>
        <w:t>Levofloxacina</w:t>
      </w:r>
      <w:proofErr w:type="spellEnd"/>
      <w:r>
        <w:t xml:space="preserve">, a otras </w:t>
      </w:r>
      <w:proofErr w:type="spellStart"/>
      <w:r>
        <w:t>quinolonas</w:t>
      </w:r>
      <w:proofErr w:type="spellEnd"/>
      <w:r>
        <w:t xml:space="preserve"> o/a alguno de los excipientes; epilepsia; antecedentes de problemas de tendón debidos a la administración de </w:t>
      </w:r>
      <w:proofErr w:type="spellStart"/>
      <w:r>
        <w:t>fluoroquinolonas</w:t>
      </w:r>
      <w:proofErr w:type="spellEnd"/>
      <w:r>
        <w:t>; niños y adolescentes; embarazo y lactancia.</w:t>
      </w:r>
    </w:p>
    <w:p w:rsidR="00E64367" w:rsidRDefault="00E64367" w:rsidP="00E64367">
      <w:pPr>
        <w:pStyle w:val="NormalWeb"/>
      </w:pPr>
      <w:r>
        <w:t>PRECAUCIONES Y ADVERTENCIAS:</w:t>
      </w:r>
    </w:p>
    <w:p w:rsidR="00E64367" w:rsidRDefault="00E64367" w:rsidP="00E64367">
      <w:pPr>
        <w:pStyle w:val="NormalWeb"/>
      </w:pPr>
      <w:r>
        <w:t xml:space="preserve">Usar con extrema cautela en pacientes predispuestos a crisis convulsivas (con lesiones preexistentes de sistema nervioso central, o en tratamiento concomitante con </w:t>
      </w:r>
      <w:proofErr w:type="spellStart"/>
      <w:r>
        <w:t>Fenbufen</w:t>
      </w:r>
      <w:proofErr w:type="spellEnd"/>
      <w:r>
        <w:t xml:space="preserve"> y drogas antiinflamatorias no esteroides similares, o con drogas que disminuyen el umbral de crisis convulsivas cerebrales por ej., teofilina). Si se sospecha colitis </w:t>
      </w:r>
      <w:proofErr w:type="spellStart"/>
      <w:r>
        <w:t>pseudomembranosa</w:t>
      </w:r>
      <w:proofErr w:type="spellEnd"/>
      <w:r>
        <w:t xml:space="preserve">, suspender la terapia y establecer el tratamiento adecuado. Si se sospecha tendinitis, suspender inmediatamente la medicación e iniciar tratamiento adecuado (por ej., inmovilización). Hubo casos de reacciones serias y ocasionalmente fatales de hipersensibilidad y/o anafilácticas (pueden presentarse después de la primera dosis o en dosis múltiples), por lo que se debe suspender inmediatamente la medicación al primer signo e instituir medidas de soporte. </w:t>
      </w:r>
      <w:proofErr w:type="spellStart"/>
      <w:r>
        <w:t>Levofloxacina</w:t>
      </w:r>
      <w:proofErr w:type="spellEnd"/>
      <w:r>
        <w:t xml:space="preserve"> inyectable debe ser administrada únicamente por vía intravenosa lenta a lo largo de 60 minutos. Mantener adecuadamente la hidratación del paciente. Se requiere ajuste de dosis para pacientes con deterioro renal. Evitar exposición a luz solar fuerte o a rayos UV artificiales. El uso, especialmente si es prolongado, puede tener como consecuencia sobreinfección. Precaución en pacientes con deficiencia real o latente de glucosa-6-fosfato </w:t>
      </w:r>
      <w:r>
        <w:lastRenderedPageBreak/>
        <w:t xml:space="preserve">deshidrogenasa. Se recomienda control estricto en diabéticos tratados en forma concomitante con un agente hipoglucemiante oral o con insulina, ya que fueron reportados trastornos de la glucemia. Se requiere precaución en el manejo o uso de maquinarias. </w:t>
      </w:r>
    </w:p>
    <w:p w:rsidR="00E64367" w:rsidRDefault="00E64367" w:rsidP="00E64367">
      <w:pPr>
        <w:pStyle w:val="NormalWeb"/>
      </w:pPr>
      <w:r>
        <w:t>REACCIONES ADVERSAS Y EFECTOS COLATERALES:</w:t>
      </w:r>
    </w:p>
    <w:p w:rsidR="00E64367" w:rsidRDefault="00E64367" w:rsidP="00E64367">
      <w:pPr>
        <w:pStyle w:val="NormalWeb"/>
      </w:pPr>
      <w:r>
        <w:t xml:space="preserve">Comunes: Náuseas, diarrea, aumento de las enzimas hepáticas, y -en el caso del producto inyectable- dolor, enrojecimiento del sitio de infusión y flebitis. Ocasionales: Prurito, </w:t>
      </w:r>
      <w:proofErr w:type="spellStart"/>
      <w:r>
        <w:t>rash</w:t>
      </w:r>
      <w:proofErr w:type="spellEnd"/>
      <w:r>
        <w:t xml:space="preserve">, anorexia, vómitos, dolor abdominal, dispepsia, cefaleas, mareos/vértigo, somnolencia, insomnio, aumento de la bilirrubina y de la creatinina sérica, </w:t>
      </w:r>
      <w:proofErr w:type="spellStart"/>
      <w:r>
        <w:t>eosinofilia</w:t>
      </w:r>
      <w:proofErr w:type="spellEnd"/>
      <w:r>
        <w:t xml:space="preserve">, leucopenia, astenia, </w:t>
      </w:r>
      <w:proofErr w:type="spellStart"/>
      <w:r>
        <w:t>sobrecrecimiento</w:t>
      </w:r>
      <w:proofErr w:type="spellEnd"/>
      <w:r>
        <w:t xml:space="preserve"> fúngico y proliferación de otros microorganismos resistentes. Raramente: Urticaria, </w:t>
      </w:r>
      <w:proofErr w:type="spellStart"/>
      <w:r>
        <w:t>broncospasmo</w:t>
      </w:r>
      <w:proofErr w:type="spellEnd"/>
      <w:r>
        <w:t xml:space="preserve">/disnea, diarrea sanguinolenta, depresión, ansiedad, reacciones sicóticas, parestesia, temor, agitación, confusión, convulsión, taquicardia, hipotensión, artralgia, mialgia, trastornos del tendón que incluyen tendinitis, neutropenia, trombocitopenia. Muy raramente: </w:t>
      </w:r>
      <w:proofErr w:type="spellStart"/>
      <w:r>
        <w:t>Angioedema</w:t>
      </w:r>
      <w:proofErr w:type="spellEnd"/>
      <w:r>
        <w:t xml:space="preserve">, hipotensión, shock anafiláctico, fotosensibilización; hipoglucemia, especialmente en pacientes diabéticos; </w:t>
      </w:r>
      <w:proofErr w:type="spellStart"/>
      <w:r>
        <w:t>hipoestesia</w:t>
      </w:r>
      <w:proofErr w:type="spellEnd"/>
      <w:r>
        <w:t xml:space="preserve">, </w:t>
      </w:r>
      <w:proofErr w:type="spellStart"/>
      <w:r>
        <w:t>transtornos</w:t>
      </w:r>
      <w:proofErr w:type="spellEnd"/>
      <w:r>
        <w:t xml:space="preserve"> visuales y auditivos, perturbaciones del gusto y el olfato; shock (anafiláctico/ </w:t>
      </w:r>
      <w:proofErr w:type="spellStart"/>
      <w:r>
        <w:t>anafilactoide</w:t>
      </w:r>
      <w:proofErr w:type="spellEnd"/>
      <w:r>
        <w:t xml:space="preserve">); ruptura del tendón (por ej., tendón de Aquiles), debilidad muscular (podría ser de importancia especial en pacientes con miastenia </w:t>
      </w:r>
      <w:proofErr w:type="spellStart"/>
      <w:r>
        <w:t>gravis</w:t>
      </w:r>
      <w:proofErr w:type="spellEnd"/>
      <w:r>
        <w:t xml:space="preserve">); reacciones hepáticas tales como hepatitis, falla renal aguda; </w:t>
      </w:r>
      <w:proofErr w:type="spellStart"/>
      <w:r>
        <w:t>agranulocitosis</w:t>
      </w:r>
      <w:proofErr w:type="spellEnd"/>
      <w:r>
        <w:t xml:space="preserve">; neumonitis alérgica, fiebre; síntomas </w:t>
      </w:r>
      <w:proofErr w:type="spellStart"/>
      <w:r>
        <w:t>extrapiramidales</w:t>
      </w:r>
      <w:proofErr w:type="spellEnd"/>
      <w:r>
        <w:t xml:space="preserve"> y otros trastornos de coordinación muscular, vasculitis por hipersensibilidad, ataques de </w:t>
      </w:r>
      <w:proofErr w:type="spellStart"/>
      <w:r>
        <w:t>porfiria</w:t>
      </w:r>
      <w:proofErr w:type="spellEnd"/>
      <w:r>
        <w:t xml:space="preserve"> en pacientes que tienen ya esta enfermedad. Casos aislados: Erupciones bullosas severas (como el síndrome de Stevens Johnson), </w:t>
      </w:r>
      <w:proofErr w:type="spellStart"/>
      <w:r>
        <w:t>necrolisis</w:t>
      </w:r>
      <w:proofErr w:type="spellEnd"/>
      <w:r>
        <w:t xml:space="preserve"> epidérmica tóxica (síndrome de </w:t>
      </w:r>
      <w:proofErr w:type="spellStart"/>
      <w:r>
        <w:t>Lyell</w:t>
      </w:r>
      <w:proofErr w:type="spellEnd"/>
      <w:r>
        <w:t xml:space="preserve">) y eritema exudativo multiforme, prolongación del intervalo QT, </w:t>
      </w:r>
      <w:proofErr w:type="spellStart"/>
      <w:r>
        <w:t>rabdomiólisis</w:t>
      </w:r>
      <w:proofErr w:type="spellEnd"/>
      <w:r>
        <w:t xml:space="preserve">, anemia hemolítica, </w:t>
      </w:r>
      <w:proofErr w:type="spellStart"/>
      <w:r>
        <w:t>pancitopenia</w:t>
      </w:r>
      <w:proofErr w:type="spellEnd"/>
      <w:r>
        <w:t xml:space="preserve">. También fueron reportados EEG anormal, encefalopatía, vasodilatación, falla </w:t>
      </w:r>
      <w:proofErr w:type="spellStart"/>
      <w:r>
        <w:t>multiorgánica</w:t>
      </w:r>
      <w:proofErr w:type="spellEnd"/>
      <w:r>
        <w:t xml:space="preserve">, </w:t>
      </w:r>
      <w:proofErr w:type="spellStart"/>
      <w:r>
        <w:t>torsades</w:t>
      </w:r>
      <w:proofErr w:type="spellEnd"/>
      <w:r>
        <w:t xml:space="preserve"> de </w:t>
      </w:r>
      <w:proofErr w:type="spellStart"/>
      <w:r>
        <w:t>pointes</w:t>
      </w:r>
      <w:proofErr w:type="spellEnd"/>
      <w:r>
        <w:t xml:space="preserve">, aumento del tiempo de protrombina y disfonía. </w:t>
      </w:r>
    </w:p>
    <w:p w:rsidR="00E64367" w:rsidRDefault="00E64367" w:rsidP="00E64367">
      <w:pPr>
        <w:pStyle w:val="NormalWeb"/>
      </w:pPr>
      <w:r>
        <w:t>INTERACCIONES CON ALIMENTOS Y MEDICAMENTOS:</w:t>
      </w:r>
    </w:p>
    <w:p w:rsidR="00E64367" w:rsidRDefault="00E64367" w:rsidP="00E64367">
      <w:pPr>
        <w:pStyle w:val="NormalWeb"/>
      </w:pPr>
      <w:r>
        <w:t xml:space="preserve">Teofilina, </w:t>
      </w:r>
      <w:proofErr w:type="spellStart"/>
      <w:r>
        <w:t>fenbufen</w:t>
      </w:r>
      <w:proofErr w:type="spellEnd"/>
      <w:r>
        <w:t xml:space="preserve"> o drogas antiinflamatorias no esteroides similares. </w:t>
      </w:r>
      <w:proofErr w:type="spellStart"/>
      <w:r>
        <w:t>Probenecid</w:t>
      </w:r>
      <w:proofErr w:type="spellEnd"/>
      <w:r>
        <w:t xml:space="preserve"> y Cimetidina. Ciclosporina. Antagonistas de la Vitamina K, </w:t>
      </w:r>
      <w:proofErr w:type="spellStart"/>
      <w:r>
        <w:t>Warfarina</w:t>
      </w:r>
      <w:proofErr w:type="spellEnd"/>
      <w:r>
        <w:t xml:space="preserve">. Drogas antidiabéticas. La absorción de los comprimidos es afectada por sales de hierro, antiácidos que contienen magnesio o aluminio, y por </w:t>
      </w:r>
      <w:proofErr w:type="spellStart"/>
      <w:r>
        <w:t>sucralfato</w:t>
      </w:r>
      <w:proofErr w:type="spellEnd"/>
      <w:r>
        <w:t>. Puede ocasionar resultados falsos-negativo en el diagnóstico bacteriológico de la tuberculosis.</w:t>
      </w:r>
    </w:p>
    <w:p w:rsidR="00E64367" w:rsidRDefault="00E64367" w:rsidP="00E64367">
      <w:pPr>
        <w:pStyle w:val="NormalWeb"/>
      </w:pPr>
      <w:r>
        <w:t>SOBREDOSIFICACION:</w:t>
      </w:r>
    </w:p>
    <w:p w:rsidR="00E64367" w:rsidRDefault="00E64367" w:rsidP="00E64367">
      <w:pPr>
        <w:pStyle w:val="NormalWeb"/>
      </w:pPr>
      <w:r>
        <w:t xml:space="preserve">La </w:t>
      </w:r>
      <w:proofErr w:type="spellStart"/>
      <w:r>
        <w:t>Levofloxacina</w:t>
      </w:r>
      <w:proofErr w:type="spellEnd"/>
      <w:r>
        <w:t xml:space="preserve"> no es eliminada en forma efectiva por medio de hemodiálisis o diálisis peritoneal.</w:t>
      </w:r>
    </w:p>
    <w:p w:rsidR="00E64367" w:rsidRDefault="00E64367" w:rsidP="00E64367">
      <w:pPr>
        <w:pStyle w:val="NormalWeb"/>
      </w:pPr>
      <w:r>
        <w:t>En caso de sobredosis o ingestión accidental, consultar al Servicio de Toxicología del Hospital de EMERGENCIAS MEDICAS Tel.: 220-418 o el 204-800 (</w:t>
      </w:r>
      <w:proofErr w:type="spellStart"/>
      <w:r>
        <w:t>int</w:t>
      </w:r>
      <w:proofErr w:type="spellEnd"/>
      <w:r>
        <w:t>. 011).</w:t>
      </w:r>
    </w:p>
    <w:p w:rsidR="00E64367" w:rsidRDefault="00E64367" w:rsidP="00E64367">
      <w:pPr>
        <w:pStyle w:val="NormalWeb"/>
      </w:pPr>
      <w:r>
        <w:t>RESTRICCIONES DE USO:</w:t>
      </w:r>
    </w:p>
    <w:p w:rsidR="00E64367" w:rsidRDefault="00E64367" w:rsidP="00E64367">
      <w:pPr>
        <w:pStyle w:val="NormalWeb"/>
      </w:pPr>
      <w:r>
        <w:t xml:space="preserve">Como no se dispone de estudios adecuados en mujeres embarazadas, se aconseja no administrarla durante la gestación, salvo en el caso de que el beneficio para la madre </w:t>
      </w:r>
      <w:r>
        <w:lastRenderedPageBreak/>
        <w:t>justifique el riesgo potencial para el feto. De la misma manera, se recomienda no administrar a mujeres en periodo de lactancia por los posibles efectos adversos que puede ocasionar en el niño.</w:t>
      </w:r>
    </w:p>
    <w:p w:rsidR="00E64367" w:rsidRDefault="00E64367" w:rsidP="00E64367">
      <w:pPr>
        <w:pStyle w:val="NormalWeb"/>
      </w:pPr>
      <w:r>
        <w:t>CONSERVACION:</w:t>
      </w:r>
    </w:p>
    <w:p w:rsidR="00E64367" w:rsidRDefault="00E64367" w:rsidP="00E64367">
      <w:pPr>
        <w:pStyle w:val="NormalWeb"/>
      </w:pPr>
      <w:r>
        <w:t>En su envase original, a temperatura ambiente (15° a 30°C).</w:t>
      </w:r>
    </w:p>
    <w:p w:rsidR="00E64367" w:rsidRDefault="00E64367" w:rsidP="00E64367">
      <w:pPr>
        <w:pStyle w:val="NormalWeb"/>
      </w:pPr>
      <w:r>
        <w:t>PRESENTACION:</w:t>
      </w:r>
    </w:p>
    <w:p w:rsidR="00E64367" w:rsidRDefault="00E64367" w:rsidP="00E64367">
      <w:pPr>
        <w:pStyle w:val="NormalWeb"/>
      </w:pPr>
      <w:r>
        <w:t xml:space="preserve">Envase conteniendo 1 frasco ampolla solución inyectable por 20 </w:t>
      </w:r>
      <w:proofErr w:type="spellStart"/>
      <w:r>
        <w:t>mL</w:t>
      </w:r>
      <w:proofErr w:type="spellEnd"/>
      <w:r>
        <w:t>.</w:t>
      </w:r>
    </w:p>
    <w:p w:rsidR="00E64367" w:rsidRDefault="00E64367" w:rsidP="00E64367">
      <w:pPr>
        <w:pStyle w:val="NormalWeb"/>
      </w:pPr>
      <w:r>
        <w:t>Este medicamento debe ser utilizado únicamente por prescripción médica y no podrá repetirse sin nueva indicación del facultativo.</w:t>
      </w:r>
    </w:p>
    <w:p w:rsidR="00E64367" w:rsidRDefault="00E64367" w:rsidP="00E64367">
      <w:pPr>
        <w:pStyle w:val="NormalWeb"/>
      </w:pPr>
      <w:r>
        <w:t>En caso de uso de este medicamento sin prescripción médica, la ocurrencia de efectos adversos e indeseables será de exclusiva responsabilidad de quien lo consuma.</w:t>
      </w:r>
    </w:p>
    <w:p w:rsidR="00E64367" w:rsidRDefault="00E64367" w:rsidP="00E64367">
      <w:pPr>
        <w:pStyle w:val="NormalWeb"/>
      </w:pPr>
      <w:r>
        <w:t>Si Ud. es deportista y está sometido a control de doping, no consuma este producto sin consultar a su médico.</w:t>
      </w:r>
    </w:p>
    <w:p w:rsidR="00E64367" w:rsidRDefault="00E64367" w:rsidP="00E64367">
      <w:pPr>
        <w:pStyle w:val="NormalWeb"/>
      </w:pPr>
      <w:r>
        <w:t>Director Técnico: Q. F. Alba Edwards</w:t>
      </w:r>
    </w:p>
    <w:p w:rsidR="00E64367" w:rsidRDefault="00E64367" w:rsidP="00E64367">
      <w:pPr>
        <w:pStyle w:val="NormalWeb"/>
      </w:pPr>
      <w:r>
        <w:t>Reg. Prof. Nº 1.385</w:t>
      </w:r>
    </w:p>
    <w:p w:rsidR="00E64367" w:rsidRDefault="00E64367" w:rsidP="00E64367">
      <w:pPr>
        <w:pStyle w:val="NormalWeb"/>
      </w:pPr>
      <w:r>
        <w:t>Autorizado por D.N.V.S. del M.S.P. y B.S.</w:t>
      </w:r>
    </w:p>
    <w:p w:rsidR="00E64367" w:rsidRDefault="00E64367" w:rsidP="00E64367">
      <w:pPr>
        <w:pStyle w:val="NormalWeb"/>
      </w:pPr>
      <w:r>
        <w:t>Venta Bajo Receta Industria Paraguaya</w:t>
      </w:r>
    </w:p>
    <w:p w:rsidR="00E64367" w:rsidRDefault="00E64367" w:rsidP="00E64367">
      <w:pPr>
        <w:pStyle w:val="NormalWeb"/>
      </w:pPr>
      <w:r>
        <w:t>MANTENER FUERA DEL ALCANCE DE LOS NIÑOS</w:t>
      </w:r>
    </w:p>
    <w:p w:rsidR="00E64367" w:rsidRDefault="00E64367" w:rsidP="00E64367">
      <w:pPr>
        <w:pStyle w:val="NormalWeb"/>
      </w:pPr>
      <w:r>
        <w:t>MANTENER EN LUGAR FRESCO Y SECO</w:t>
      </w:r>
    </w:p>
    <w:p w:rsidR="00A27D11" w:rsidRPr="00E64367" w:rsidRDefault="00A27D11" w:rsidP="00E64367"/>
    <w:sectPr w:rsidR="00A27D11" w:rsidRPr="00E64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5D"/>
    <w:rsid w:val="0013507F"/>
    <w:rsid w:val="00A27D11"/>
    <w:rsid w:val="00CE4621"/>
    <w:rsid w:val="00D4795D"/>
    <w:rsid w:val="00E6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DD396-423B-44EC-B870-012201F8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2021-06-11T14:59:00Z</dcterms:created>
  <dcterms:modified xsi:type="dcterms:W3CDTF">2021-06-11T14:59:00Z</dcterms:modified>
</cp:coreProperties>
</file>