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78" w:rsidRDefault="00936278" w:rsidP="00936278">
      <w:pPr>
        <w:spacing w:line="360" w:lineRule="auto"/>
        <w:rPr>
          <w:rFonts w:ascii="Arial" w:hAnsi="Arial" w:cs="Arial"/>
          <w:sz w:val="24"/>
          <w:szCs w:val="24"/>
        </w:rPr>
      </w:pPr>
      <w:r>
        <w:rPr>
          <w:rFonts w:ascii="Arial" w:hAnsi="Arial" w:cs="Arial"/>
          <w:sz w:val="24"/>
          <w:szCs w:val="24"/>
        </w:rPr>
        <w:t>PRIVIGEN</w:t>
      </w:r>
    </w:p>
    <w:p w:rsidR="00936278" w:rsidRDefault="00936278" w:rsidP="00936278">
      <w:pPr>
        <w:spacing w:line="360" w:lineRule="auto"/>
        <w:rPr>
          <w:rFonts w:ascii="Arial" w:hAnsi="Arial" w:cs="Arial"/>
          <w:sz w:val="24"/>
          <w:szCs w:val="24"/>
        </w:rPr>
      </w:pPr>
      <w:r>
        <w:rPr>
          <w:rFonts w:ascii="Arial" w:hAnsi="Arial" w:cs="Arial"/>
          <w:b/>
          <w:sz w:val="24"/>
          <w:szCs w:val="24"/>
        </w:rPr>
        <w:t>Denominación Genérica:</w:t>
      </w:r>
      <w:r>
        <w:rPr>
          <w:rFonts w:ascii="Arial" w:hAnsi="Arial" w:cs="Arial"/>
          <w:b/>
          <w:sz w:val="24"/>
          <w:szCs w:val="24"/>
        </w:rPr>
        <w:tab/>
      </w:r>
      <w:r>
        <w:rPr>
          <w:rFonts w:ascii="Arial" w:hAnsi="Arial" w:cs="Arial"/>
          <w:b/>
          <w:sz w:val="24"/>
          <w:szCs w:val="24"/>
        </w:rPr>
        <w:tab/>
      </w:r>
      <w:r>
        <w:rPr>
          <w:rFonts w:ascii="Arial" w:hAnsi="Arial" w:cs="Arial"/>
          <w:sz w:val="24"/>
          <w:szCs w:val="24"/>
        </w:rPr>
        <w:t>Inmunoglobulina humana normal</w:t>
      </w:r>
    </w:p>
    <w:p w:rsidR="00936278" w:rsidRDefault="00936278" w:rsidP="00936278">
      <w:pPr>
        <w:spacing w:line="360" w:lineRule="auto"/>
        <w:rPr>
          <w:rFonts w:ascii="Arial" w:hAnsi="Arial" w:cs="Arial"/>
          <w:sz w:val="24"/>
          <w:szCs w:val="24"/>
        </w:rPr>
      </w:pPr>
      <w:r>
        <w:rPr>
          <w:rFonts w:ascii="Arial" w:hAnsi="Arial" w:cs="Arial"/>
          <w:b/>
          <w:sz w:val="24"/>
          <w:szCs w:val="24"/>
        </w:rPr>
        <w:t>Concentración: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Inmunoglobulina humana </w:t>
      </w:r>
    </w:p>
    <w:p w:rsidR="00936278" w:rsidRDefault="00936278" w:rsidP="00936278">
      <w:pPr>
        <w:spacing w:line="360" w:lineRule="auto"/>
        <w:rPr>
          <w:rFonts w:ascii="Arial" w:hAnsi="Arial" w:cs="Arial"/>
          <w:sz w:val="24"/>
          <w:szCs w:val="24"/>
          <w:lang w:val="es-ES_tradnl"/>
        </w:rPr>
      </w:pPr>
      <w:r>
        <w:rPr>
          <w:rFonts w:ascii="Arial" w:hAnsi="Arial" w:cs="Arial"/>
          <w:sz w:val="24"/>
          <w:szCs w:val="24"/>
        </w:rPr>
        <w:t xml:space="preserve">                                                     </w:t>
      </w:r>
      <w:proofErr w:type="gramStart"/>
      <w:r>
        <w:rPr>
          <w:rFonts w:ascii="Arial" w:hAnsi="Arial" w:cs="Arial"/>
          <w:sz w:val="24"/>
          <w:szCs w:val="24"/>
        </w:rPr>
        <w:t>normal</w:t>
      </w:r>
      <w:proofErr w:type="gramEnd"/>
      <w:r>
        <w:rPr>
          <w:rFonts w:ascii="Arial" w:hAnsi="Arial" w:cs="Arial"/>
          <w:sz w:val="24"/>
          <w:szCs w:val="24"/>
          <w:lang w:val="es-ES_tradnl"/>
        </w:rPr>
        <w:t xml:space="preserve"> ………………100,00 mg   </w:t>
      </w:r>
    </w:p>
    <w:p w:rsidR="001E3122" w:rsidRDefault="00936278" w:rsidP="00936278">
      <w:pPr>
        <w:rPr>
          <w:rFonts w:ascii="Arial" w:hAnsi="Arial" w:cs="Arial"/>
          <w:sz w:val="24"/>
          <w:szCs w:val="24"/>
        </w:rPr>
      </w:pPr>
      <w:r>
        <w:rPr>
          <w:rFonts w:ascii="Arial" w:hAnsi="Arial" w:cs="Arial"/>
          <w:b/>
          <w:sz w:val="24"/>
          <w:szCs w:val="24"/>
        </w:rPr>
        <w:t xml:space="preserve">Forma Farmacéutica: </w:t>
      </w:r>
      <w:r>
        <w:rPr>
          <w:rFonts w:ascii="Arial" w:hAnsi="Arial" w:cs="Arial"/>
          <w:b/>
          <w:sz w:val="24"/>
          <w:szCs w:val="24"/>
        </w:rPr>
        <w:tab/>
      </w:r>
      <w:r>
        <w:rPr>
          <w:rFonts w:ascii="Arial" w:hAnsi="Arial" w:cs="Arial"/>
          <w:b/>
          <w:sz w:val="24"/>
          <w:szCs w:val="24"/>
        </w:rPr>
        <w:tab/>
      </w:r>
      <w:r>
        <w:rPr>
          <w:rFonts w:ascii="Arial" w:hAnsi="Arial" w:cs="Arial"/>
          <w:sz w:val="24"/>
          <w:szCs w:val="24"/>
        </w:rPr>
        <w:t xml:space="preserve"> Solución para infusión intravenosa</w:t>
      </w:r>
    </w:p>
    <w:p w:rsidR="00936278" w:rsidRDefault="00936278" w:rsidP="00936278">
      <w:pPr>
        <w:shd w:val="clear" w:color="auto" w:fill="FFFFFF"/>
        <w:spacing w:before="5" w:line="360" w:lineRule="auto"/>
        <w:ind w:left="3540" w:hanging="3540"/>
        <w:jc w:val="both"/>
        <w:rPr>
          <w:rFonts w:ascii="Arial" w:hAnsi="Arial" w:cs="Arial"/>
          <w:b/>
          <w:sz w:val="24"/>
          <w:szCs w:val="24"/>
        </w:rPr>
      </w:pPr>
      <w:r>
        <w:rPr>
          <w:rFonts w:ascii="Arial" w:hAnsi="Arial" w:cs="Arial"/>
          <w:b/>
          <w:sz w:val="24"/>
          <w:szCs w:val="24"/>
        </w:rPr>
        <w:t>Condiciones de Conservación:</w:t>
      </w:r>
      <w:r>
        <w:rPr>
          <w:rFonts w:ascii="Arial" w:hAnsi="Arial" w:cs="Arial"/>
          <w:b/>
          <w:sz w:val="24"/>
          <w:szCs w:val="24"/>
        </w:rPr>
        <w:tab/>
      </w:r>
      <w:r>
        <w:rPr>
          <w:rFonts w:ascii="Arial" w:hAnsi="Arial" w:cs="Arial"/>
          <w:sz w:val="24"/>
          <w:szCs w:val="24"/>
          <w:lang w:val="es-ES"/>
        </w:rPr>
        <w:t>Conservar a una temperatura no superior a 25ºC. No congelar. Mantener el frasco ampolla en el cartón a fin de protegerlo de la luz.</w:t>
      </w:r>
    </w:p>
    <w:p w:rsidR="00936278" w:rsidRDefault="00936278" w:rsidP="00936278">
      <w:pPr>
        <w:rPr>
          <w:rFonts w:ascii="Arial" w:hAnsi="Arial" w:cs="Arial"/>
          <w:sz w:val="24"/>
          <w:szCs w:val="24"/>
        </w:rPr>
      </w:pPr>
      <w:r>
        <w:rPr>
          <w:rFonts w:ascii="Arial" w:hAnsi="Arial" w:cs="Arial"/>
          <w:b/>
          <w:sz w:val="24"/>
          <w:szCs w:val="24"/>
        </w:rPr>
        <w:t xml:space="preserve">Presentación:    </w:t>
      </w:r>
      <w:r>
        <w:rPr>
          <w:rFonts w:ascii="Arial" w:hAnsi="Arial" w:cs="Arial"/>
          <w:sz w:val="24"/>
          <w:szCs w:val="24"/>
        </w:rPr>
        <w:t>Caja conteniendo 1 frasco ampolla con 2,5g/25ml de solución.</w:t>
      </w:r>
    </w:p>
    <w:p w:rsidR="00936278" w:rsidRDefault="00936278" w:rsidP="00936278">
      <w:pPr>
        <w:ind w:left="1843"/>
        <w:rPr>
          <w:rFonts w:ascii="Arial" w:hAnsi="Arial" w:cs="Arial"/>
          <w:sz w:val="24"/>
          <w:szCs w:val="24"/>
        </w:rPr>
      </w:pPr>
      <w:r>
        <w:rPr>
          <w:rFonts w:ascii="Arial" w:hAnsi="Arial" w:cs="Arial"/>
          <w:sz w:val="24"/>
          <w:szCs w:val="24"/>
        </w:rPr>
        <w:t>Caja conteniendo 1 frasco ampolla con 5g/50ml de solución.</w:t>
      </w:r>
    </w:p>
    <w:p w:rsidR="00936278" w:rsidRDefault="00936278" w:rsidP="00936278">
      <w:pPr>
        <w:ind w:left="1843"/>
        <w:rPr>
          <w:rFonts w:ascii="Arial" w:hAnsi="Arial" w:cs="Arial"/>
          <w:sz w:val="24"/>
          <w:szCs w:val="24"/>
        </w:rPr>
      </w:pPr>
      <w:r>
        <w:rPr>
          <w:rFonts w:ascii="Arial" w:hAnsi="Arial" w:cs="Arial"/>
          <w:sz w:val="24"/>
          <w:szCs w:val="24"/>
        </w:rPr>
        <w:t>Caja conteniendo 1 frasco ampolla con 10g/100ml de solución.</w:t>
      </w:r>
    </w:p>
    <w:p w:rsidR="00936278" w:rsidRDefault="00936278" w:rsidP="00936278">
      <w:pPr>
        <w:ind w:left="1843"/>
        <w:rPr>
          <w:rFonts w:ascii="Arial" w:hAnsi="Arial" w:cs="Arial"/>
          <w:sz w:val="24"/>
          <w:szCs w:val="24"/>
        </w:rPr>
      </w:pPr>
      <w:r>
        <w:rPr>
          <w:rFonts w:ascii="Arial" w:hAnsi="Arial" w:cs="Arial"/>
          <w:sz w:val="24"/>
          <w:szCs w:val="24"/>
        </w:rPr>
        <w:t>Caja conteniendo 1 frasco ampolla con 20g/200ml de solución.</w:t>
      </w:r>
    </w:p>
    <w:p w:rsidR="00936278" w:rsidRDefault="00936278" w:rsidP="00936278">
      <w:pPr>
        <w:rPr>
          <w:rFonts w:ascii="Arial" w:hAnsi="Arial" w:cs="Arial"/>
          <w:sz w:val="24"/>
          <w:szCs w:val="24"/>
        </w:rPr>
      </w:pPr>
    </w:p>
    <w:p w:rsidR="00936278" w:rsidRDefault="00936278" w:rsidP="00936278">
      <w:pPr>
        <w:spacing w:line="360" w:lineRule="auto"/>
        <w:rPr>
          <w:rFonts w:ascii="Arial" w:hAnsi="Arial" w:cs="Arial"/>
          <w:b/>
          <w:sz w:val="24"/>
          <w:szCs w:val="24"/>
        </w:rPr>
      </w:pPr>
      <w:r>
        <w:rPr>
          <w:rFonts w:ascii="Arial" w:hAnsi="Arial" w:cs="Arial"/>
          <w:b/>
          <w:sz w:val="24"/>
          <w:szCs w:val="24"/>
        </w:rPr>
        <w:t xml:space="preserve">Datos del Titular de Registro y del Elaborador </w:t>
      </w:r>
    </w:p>
    <w:p w:rsidR="00936278" w:rsidRDefault="00936278" w:rsidP="00936278">
      <w:pPr>
        <w:spacing w:line="360" w:lineRule="auto"/>
        <w:rPr>
          <w:rFonts w:ascii="Arial" w:hAnsi="Arial" w:cs="Arial"/>
          <w:sz w:val="24"/>
          <w:szCs w:val="24"/>
        </w:rPr>
      </w:pPr>
      <w:r>
        <w:rPr>
          <w:rFonts w:ascii="Arial" w:hAnsi="Arial" w:cs="Arial"/>
          <w:b/>
          <w:sz w:val="24"/>
          <w:szCs w:val="24"/>
        </w:rPr>
        <w:t xml:space="preserve">Titular del registro: </w:t>
      </w:r>
      <w:r>
        <w:rPr>
          <w:rFonts w:ascii="Arial" w:hAnsi="Arial" w:cs="Arial"/>
          <w:b/>
          <w:sz w:val="24"/>
          <w:szCs w:val="24"/>
        </w:rPr>
        <w:tab/>
      </w:r>
      <w:r>
        <w:rPr>
          <w:rFonts w:ascii="Arial" w:hAnsi="Arial" w:cs="Arial"/>
          <w:sz w:val="24"/>
          <w:szCs w:val="24"/>
        </w:rPr>
        <w:t>QUIMFA S.A.</w:t>
      </w:r>
    </w:p>
    <w:p w:rsidR="00936278" w:rsidRDefault="00936278" w:rsidP="00936278">
      <w:pPr>
        <w:spacing w:line="360" w:lineRule="auto"/>
        <w:ind w:left="2832" w:hanging="2832"/>
        <w:rPr>
          <w:rFonts w:ascii="Arial" w:hAnsi="Arial" w:cs="Arial"/>
          <w:sz w:val="24"/>
          <w:szCs w:val="24"/>
        </w:rPr>
      </w:pPr>
      <w:r>
        <w:rPr>
          <w:rFonts w:ascii="Arial" w:hAnsi="Arial" w:cs="Arial"/>
          <w:b/>
          <w:sz w:val="24"/>
          <w:szCs w:val="24"/>
        </w:rPr>
        <w:t xml:space="preserve">Elaborado por:                 </w:t>
      </w:r>
      <w:r>
        <w:rPr>
          <w:rFonts w:ascii="Arial" w:hAnsi="Arial" w:cs="Arial"/>
          <w:sz w:val="24"/>
          <w:szCs w:val="24"/>
        </w:rPr>
        <w:t>CSL BEHRING AG</w:t>
      </w:r>
    </w:p>
    <w:p w:rsidR="00936278" w:rsidRDefault="00936278" w:rsidP="00936278">
      <w:pPr>
        <w:spacing w:line="360" w:lineRule="auto"/>
        <w:ind w:left="2124" w:hanging="2124"/>
        <w:rPr>
          <w:rFonts w:ascii="Arial" w:hAnsi="Arial" w:cs="Arial"/>
          <w:sz w:val="24"/>
          <w:szCs w:val="24"/>
        </w:rPr>
      </w:pPr>
      <w:r>
        <w:rPr>
          <w:rFonts w:ascii="Arial" w:hAnsi="Arial" w:cs="Arial"/>
          <w:b/>
          <w:sz w:val="24"/>
          <w:szCs w:val="24"/>
        </w:rPr>
        <w:t>Dirección:</w:t>
      </w:r>
      <w:r>
        <w:rPr>
          <w:rFonts w:ascii="Arial" w:hAnsi="Arial" w:cs="Arial"/>
          <w:sz w:val="24"/>
          <w:szCs w:val="24"/>
        </w:rPr>
        <w:tab/>
      </w:r>
      <w:r>
        <w:rPr>
          <w:rFonts w:ascii="Arial" w:hAnsi="Arial" w:cs="Arial"/>
          <w:sz w:val="24"/>
          <w:szCs w:val="24"/>
        </w:rPr>
        <w:tab/>
        <w:t xml:space="preserve">Avda. Primer presidente N°1736 c/ </w:t>
      </w:r>
      <w:proofErr w:type="spellStart"/>
      <w:r>
        <w:rPr>
          <w:rFonts w:ascii="Arial" w:hAnsi="Arial" w:cs="Arial"/>
          <w:sz w:val="24"/>
          <w:szCs w:val="24"/>
        </w:rPr>
        <w:t>Yrendague</w:t>
      </w:r>
      <w:proofErr w:type="spellEnd"/>
    </w:p>
    <w:p w:rsidR="00936278" w:rsidRDefault="00936278" w:rsidP="00936278">
      <w:pPr>
        <w:spacing w:line="360" w:lineRule="auto"/>
        <w:rPr>
          <w:rFonts w:ascii="Arial" w:hAnsi="Arial" w:cs="Arial"/>
          <w:sz w:val="24"/>
          <w:szCs w:val="24"/>
        </w:rPr>
      </w:pPr>
      <w:r>
        <w:rPr>
          <w:rFonts w:ascii="Arial" w:hAnsi="Arial" w:cs="Arial"/>
          <w:b/>
          <w:sz w:val="24"/>
          <w:szCs w:val="24"/>
        </w:rPr>
        <w:t>Origen:</w:t>
      </w:r>
      <w:r>
        <w:rPr>
          <w:rFonts w:ascii="Arial" w:hAnsi="Arial" w:cs="Arial"/>
          <w:sz w:val="24"/>
          <w:szCs w:val="24"/>
        </w:rPr>
        <w:tab/>
      </w:r>
      <w:r>
        <w:rPr>
          <w:rFonts w:ascii="Arial" w:hAnsi="Arial" w:cs="Arial"/>
          <w:sz w:val="24"/>
          <w:szCs w:val="24"/>
        </w:rPr>
        <w:tab/>
      </w:r>
      <w:r>
        <w:rPr>
          <w:rFonts w:ascii="Arial" w:hAnsi="Arial" w:cs="Arial"/>
          <w:sz w:val="24"/>
          <w:szCs w:val="24"/>
        </w:rPr>
        <w:tab/>
        <w:t>Paraguay</w:t>
      </w:r>
    </w:p>
    <w:p w:rsidR="00936278" w:rsidRDefault="00936278" w:rsidP="00936278">
      <w:pPr>
        <w:jc w:val="center"/>
        <w:rPr>
          <w:rFonts w:ascii="Arial" w:hAnsi="Arial" w:cs="Arial"/>
          <w:b/>
          <w:sz w:val="24"/>
          <w:szCs w:val="24"/>
        </w:rPr>
      </w:pPr>
      <w:r>
        <w:rPr>
          <w:rFonts w:ascii="Arial" w:hAnsi="Arial" w:cs="Arial"/>
          <w:b/>
          <w:sz w:val="24"/>
          <w:szCs w:val="24"/>
          <w:u w:val="single"/>
        </w:rPr>
        <w:t xml:space="preserve">Formula </w:t>
      </w:r>
      <w:proofErr w:type="spellStart"/>
      <w:r>
        <w:rPr>
          <w:rFonts w:ascii="Arial" w:hAnsi="Arial" w:cs="Arial"/>
          <w:b/>
          <w:sz w:val="24"/>
          <w:szCs w:val="24"/>
          <w:u w:val="single"/>
        </w:rPr>
        <w:t>cualitativa</w:t>
      </w:r>
      <w:r>
        <w:rPr>
          <w:rFonts w:ascii="Arial" w:hAnsi="Arial" w:cs="Arial"/>
          <w:b/>
          <w:sz w:val="24"/>
          <w:szCs w:val="24"/>
        </w:rPr>
        <w:t>Cada</w:t>
      </w:r>
      <w:proofErr w:type="spellEnd"/>
      <w:r>
        <w:rPr>
          <w:rFonts w:ascii="Arial" w:hAnsi="Arial" w:cs="Arial"/>
          <w:b/>
          <w:sz w:val="24"/>
          <w:szCs w:val="24"/>
        </w:rPr>
        <w:t xml:space="preserve"> comprimido contiene:</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8"/>
      </w:tblGrid>
      <w:tr w:rsidR="00936278" w:rsidTr="00936278">
        <w:trPr>
          <w:trHeight w:val="352"/>
        </w:trPr>
        <w:tc>
          <w:tcPr>
            <w:tcW w:w="7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36278" w:rsidRDefault="00936278">
            <w:pPr>
              <w:jc w:val="center"/>
              <w:rPr>
                <w:rFonts w:ascii="Arial" w:hAnsi="Arial" w:cs="Arial"/>
                <w:b/>
                <w:caps/>
                <w:sz w:val="24"/>
                <w:szCs w:val="24"/>
              </w:rPr>
            </w:pPr>
            <w:r>
              <w:rPr>
                <w:rFonts w:ascii="Arial" w:hAnsi="Arial" w:cs="Arial"/>
                <w:b/>
                <w:sz w:val="24"/>
                <w:szCs w:val="24"/>
              </w:rPr>
              <w:t>Principio Activo</w:t>
            </w:r>
          </w:p>
        </w:tc>
      </w:tr>
      <w:tr w:rsidR="00936278" w:rsidTr="00936278">
        <w:trPr>
          <w:trHeight w:val="355"/>
        </w:trPr>
        <w:tc>
          <w:tcPr>
            <w:tcW w:w="7768" w:type="dxa"/>
            <w:tcBorders>
              <w:top w:val="single" w:sz="4" w:space="0" w:color="auto"/>
              <w:left w:val="single" w:sz="4" w:space="0" w:color="auto"/>
              <w:bottom w:val="single" w:sz="4" w:space="0" w:color="auto"/>
              <w:right w:val="single" w:sz="4" w:space="0" w:color="auto"/>
            </w:tcBorders>
            <w:hideMark/>
          </w:tcPr>
          <w:p w:rsidR="00936278" w:rsidRDefault="00936278">
            <w:pPr>
              <w:snapToGrid w:val="0"/>
              <w:jc w:val="center"/>
              <w:rPr>
                <w:rFonts w:ascii="Arial" w:hAnsi="Arial" w:cs="Arial"/>
                <w:sz w:val="24"/>
                <w:szCs w:val="24"/>
              </w:rPr>
            </w:pPr>
            <w:r>
              <w:rPr>
                <w:rFonts w:ascii="Arial" w:hAnsi="Arial" w:cs="Arial"/>
                <w:sz w:val="24"/>
                <w:szCs w:val="24"/>
              </w:rPr>
              <w:t>Inmunoglobulina humana normal</w:t>
            </w:r>
          </w:p>
        </w:tc>
      </w:tr>
      <w:tr w:rsidR="00936278" w:rsidTr="00936278">
        <w:trPr>
          <w:trHeight w:val="401"/>
        </w:trPr>
        <w:tc>
          <w:tcPr>
            <w:tcW w:w="7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6278" w:rsidRDefault="00936278">
            <w:pPr>
              <w:jc w:val="center"/>
              <w:rPr>
                <w:rFonts w:ascii="Arial" w:hAnsi="Arial" w:cs="Arial"/>
                <w:b/>
                <w:sz w:val="24"/>
                <w:szCs w:val="24"/>
              </w:rPr>
            </w:pPr>
            <w:r>
              <w:rPr>
                <w:rFonts w:ascii="Arial" w:hAnsi="Arial" w:cs="Arial"/>
                <w:b/>
                <w:sz w:val="24"/>
                <w:szCs w:val="24"/>
              </w:rPr>
              <w:t>Vehículos y Excipientes</w:t>
            </w:r>
          </w:p>
        </w:tc>
      </w:tr>
      <w:tr w:rsidR="00936278" w:rsidTr="00936278">
        <w:trPr>
          <w:trHeight w:val="217"/>
        </w:trPr>
        <w:tc>
          <w:tcPr>
            <w:tcW w:w="7768" w:type="dxa"/>
            <w:tcBorders>
              <w:top w:val="single" w:sz="4" w:space="0" w:color="auto"/>
              <w:left w:val="single" w:sz="4" w:space="0" w:color="auto"/>
              <w:bottom w:val="single" w:sz="4" w:space="0" w:color="auto"/>
              <w:right w:val="single" w:sz="4" w:space="0" w:color="auto"/>
            </w:tcBorders>
            <w:hideMark/>
          </w:tcPr>
          <w:p w:rsidR="00936278" w:rsidRDefault="00936278">
            <w:pPr>
              <w:snapToGrid w:val="0"/>
              <w:jc w:val="center"/>
              <w:rPr>
                <w:rFonts w:ascii="Arial" w:hAnsi="Arial" w:cs="Arial"/>
                <w:sz w:val="24"/>
                <w:szCs w:val="24"/>
              </w:rPr>
            </w:pPr>
            <w:r>
              <w:rPr>
                <w:rFonts w:ascii="Arial" w:hAnsi="Arial" w:cs="Arial"/>
                <w:sz w:val="24"/>
                <w:szCs w:val="24"/>
              </w:rPr>
              <w:t>L-</w:t>
            </w:r>
            <w:proofErr w:type="spellStart"/>
            <w:r>
              <w:rPr>
                <w:rFonts w:ascii="Arial" w:hAnsi="Arial" w:cs="Arial"/>
                <w:sz w:val="24"/>
                <w:szCs w:val="24"/>
              </w:rPr>
              <w:t>prolina</w:t>
            </w:r>
            <w:proofErr w:type="spellEnd"/>
          </w:p>
        </w:tc>
      </w:tr>
      <w:tr w:rsidR="00936278" w:rsidTr="00936278">
        <w:trPr>
          <w:trHeight w:val="251"/>
        </w:trPr>
        <w:tc>
          <w:tcPr>
            <w:tcW w:w="7768" w:type="dxa"/>
            <w:tcBorders>
              <w:top w:val="single" w:sz="4" w:space="0" w:color="auto"/>
              <w:left w:val="single" w:sz="4" w:space="0" w:color="auto"/>
              <w:bottom w:val="single" w:sz="4" w:space="0" w:color="auto"/>
              <w:right w:val="single" w:sz="4" w:space="0" w:color="auto"/>
            </w:tcBorders>
            <w:hideMark/>
          </w:tcPr>
          <w:p w:rsidR="00936278" w:rsidRDefault="00936278">
            <w:pPr>
              <w:snapToGrid w:val="0"/>
              <w:jc w:val="center"/>
              <w:rPr>
                <w:rFonts w:ascii="Arial" w:hAnsi="Arial" w:cs="Arial"/>
                <w:sz w:val="24"/>
                <w:szCs w:val="24"/>
              </w:rPr>
            </w:pPr>
            <w:r>
              <w:rPr>
                <w:rFonts w:ascii="Arial" w:hAnsi="Arial" w:cs="Arial"/>
                <w:sz w:val="24"/>
                <w:szCs w:val="24"/>
              </w:rPr>
              <w:t>Agua para inyecciones</w:t>
            </w:r>
          </w:p>
        </w:tc>
      </w:tr>
    </w:tbl>
    <w:p w:rsidR="00936278" w:rsidRDefault="00936278" w:rsidP="00936278">
      <w:pPr>
        <w:rPr>
          <w:rFonts w:ascii="Arial" w:hAnsi="Arial" w:cs="Arial"/>
          <w:b/>
          <w:sz w:val="24"/>
          <w:szCs w:val="24"/>
        </w:rPr>
      </w:pPr>
    </w:p>
    <w:p w:rsidR="00936278" w:rsidRDefault="00936278" w:rsidP="00936278">
      <w:pPr>
        <w:spacing w:after="0"/>
        <w:jc w:val="both"/>
        <w:rPr>
          <w:rFonts w:ascii="Arial" w:hAnsi="Arial" w:cs="Arial"/>
          <w:sz w:val="24"/>
          <w:szCs w:val="24"/>
        </w:rPr>
      </w:pPr>
      <w:r>
        <w:rPr>
          <w:rFonts w:ascii="Arial" w:hAnsi="Arial" w:cs="Arial"/>
          <w:b/>
          <w:sz w:val="24"/>
          <w:szCs w:val="24"/>
        </w:rPr>
        <w:t xml:space="preserve">Aspecto: </w:t>
      </w:r>
      <w:r>
        <w:rPr>
          <w:rFonts w:ascii="Arial" w:hAnsi="Arial" w:cs="Arial"/>
          <w:sz w:val="24"/>
          <w:szCs w:val="24"/>
        </w:rPr>
        <w:t xml:space="preserve">claro o ligeramente opalescente </w:t>
      </w:r>
      <w:proofErr w:type="spellStart"/>
      <w:r>
        <w:rPr>
          <w:rFonts w:ascii="Arial" w:hAnsi="Arial" w:cs="Arial"/>
          <w:sz w:val="24"/>
          <w:szCs w:val="24"/>
        </w:rPr>
        <w:t>y</w:t>
      </w:r>
      <w:proofErr w:type="spellEnd"/>
      <w:r>
        <w:rPr>
          <w:rFonts w:ascii="Arial" w:hAnsi="Arial" w:cs="Arial"/>
          <w:sz w:val="24"/>
          <w:szCs w:val="24"/>
        </w:rPr>
        <w:t xml:space="preserve"> incoloro o pálido solución amarilla.</w:t>
      </w:r>
    </w:p>
    <w:p w:rsidR="00936278" w:rsidRDefault="00936278" w:rsidP="00936278">
      <w:pPr>
        <w:spacing w:after="0"/>
        <w:jc w:val="both"/>
        <w:rPr>
          <w:rFonts w:ascii="Arial" w:hAnsi="Arial" w:cs="Arial"/>
          <w:sz w:val="24"/>
          <w:szCs w:val="24"/>
        </w:rPr>
      </w:pPr>
    </w:p>
    <w:p w:rsidR="00936278" w:rsidRDefault="00936278" w:rsidP="00936278">
      <w:pPr>
        <w:spacing w:after="0"/>
        <w:jc w:val="both"/>
        <w:rPr>
          <w:rFonts w:ascii="Arial" w:hAnsi="Arial" w:cs="Arial"/>
          <w:b/>
          <w:sz w:val="24"/>
          <w:szCs w:val="24"/>
        </w:rPr>
      </w:pPr>
    </w:p>
    <w:p w:rsidR="00936278" w:rsidRDefault="00936278" w:rsidP="00936278">
      <w:pPr>
        <w:spacing w:after="0"/>
        <w:jc w:val="both"/>
        <w:rPr>
          <w:rFonts w:ascii="Arial" w:hAnsi="Arial" w:cs="Arial"/>
          <w:b/>
          <w:sz w:val="24"/>
          <w:szCs w:val="24"/>
        </w:rPr>
      </w:pPr>
      <w:r>
        <w:rPr>
          <w:rFonts w:ascii="Arial" w:hAnsi="Arial" w:cs="Arial"/>
          <w:b/>
          <w:sz w:val="24"/>
          <w:szCs w:val="24"/>
        </w:rPr>
        <w:lastRenderedPageBreak/>
        <w:t>ENVASE PRIMARIO</w:t>
      </w:r>
    </w:p>
    <w:p w:rsidR="00936278" w:rsidRDefault="00936278" w:rsidP="00936278">
      <w:pPr>
        <w:spacing w:after="0"/>
        <w:jc w:val="both"/>
        <w:rPr>
          <w:rFonts w:ascii="Arial" w:hAnsi="Arial" w:cs="Arial"/>
          <w:sz w:val="24"/>
          <w:szCs w:val="24"/>
        </w:rPr>
      </w:pPr>
      <w:r>
        <w:rPr>
          <w:rFonts w:ascii="Arial" w:hAnsi="Arial" w:cs="Arial"/>
          <w:sz w:val="24"/>
          <w:szCs w:val="24"/>
        </w:rPr>
        <w:t xml:space="preserve">Descripción del material de envase primario: </w:t>
      </w:r>
    </w:p>
    <w:p w:rsidR="00936278" w:rsidRDefault="00936278" w:rsidP="00936278">
      <w:pPr>
        <w:spacing w:after="0"/>
        <w:jc w:val="both"/>
        <w:rPr>
          <w:rFonts w:ascii="Arial" w:hAnsi="Arial" w:cs="Arial"/>
          <w:sz w:val="24"/>
          <w:szCs w:val="24"/>
        </w:rPr>
      </w:pPr>
      <w:r>
        <w:rPr>
          <w:rFonts w:ascii="Arial" w:hAnsi="Arial" w:cs="Arial"/>
          <w:sz w:val="24"/>
          <w:szCs w:val="24"/>
        </w:rPr>
        <w:t xml:space="preserve">2.5 g: botellas de 25 </w:t>
      </w:r>
      <w:proofErr w:type="spellStart"/>
      <w:r>
        <w:rPr>
          <w:rFonts w:ascii="Arial" w:hAnsi="Arial" w:cs="Arial"/>
          <w:sz w:val="24"/>
          <w:szCs w:val="24"/>
        </w:rPr>
        <w:t>mL</w:t>
      </w:r>
      <w:proofErr w:type="spellEnd"/>
      <w:r>
        <w:rPr>
          <w:rFonts w:ascii="Arial" w:hAnsi="Arial" w:cs="Arial"/>
          <w:sz w:val="24"/>
          <w:szCs w:val="24"/>
        </w:rPr>
        <w:t>, vidrio tubular, Tipo I, cuello de 20 mm, con tapón de infusión tipo:</w:t>
      </w:r>
    </w:p>
    <w:p w:rsidR="00936278" w:rsidRDefault="00936278" w:rsidP="00936278">
      <w:pPr>
        <w:numPr>
          <w:ilvl w:val="0"/>
          <w:numId w:val="1"/>
        </w:numPr>
        <w:spacing w:after="0"/>
        <w:jc w:val="both"/>
        <w:rPr>
          <w:rFonts w:ascii="Arial" w:hAnsi="Arial" w:cs="Arial"/>
          <w:sz w:val="24"/>
          <w:szCs w:val="24"/>
          <w:lang w:val="en-GB"/>
        </w:rPr>
      </w:pPr>
      <w:r>
        <w:rPr>
          <w:rFonts w:ascii="Arial" w:hAnsi="Arial" w:cs="Arial"/>
          <w:sz w:val="24"/>
          <w:szCs w:val="24"/>
          <w:lang w:val="en-GB"/>
        </w:rPr>
        <w:t xml:space="preserve">West 1241 PH 4104/40 </w:t>
      </w:r>
      <w:proofErr w:type="spellStart"/>
      <w:r>
        <w:rPr>
          <w:rFonts w:ascii="Arial" w:hAnsi="Arial" w:cs="Arial"/>
          <w:sz w:val="24"/>
          <w:szCs w:val="24"/>
          <w:lang w:val="en-GB"/>
        </w:rPr>
        <w:t>gris</w:t>
      </w:r>
      <w:proofErr w:type="spellEnd"/>
      <w:r>
        <w:rPr>
          <w:rFonts w:ascii="Arial" w:hAnsi="Arial" w:cs="Arial"/>
          <w:sz w:val="24"/>
          <w:szCs w:val="24"/>
          <w:lang w:val="en-GB"/>
        </w:rPr>
        <w:t>, 20 mm (</w:t>
      </w:r>
      <w:proofErr w:type="spellStart"/>
      <w:r>
        <w:rPr>
          <w:rFonts w:ascii="Arial" w:hAnsi="Arial" w:cs="Arial"/>
          <w:sz w:val="24"/>
          <w:szCs w:val="24"/>
          <w:lang w:val="en-GB"/>
        </w:rPr>
        <w:t>bromobutilo</w:t>
      </w:r>
      <w:proofErr w:type="spellEnd"/>
      <w:r>
        <w:rPr>
          <w:rFonts w:ascii="Arial" w:hAnsi="Arial" w:cs="Arial"/>
          <w:sz w:val="24"/>
          <w:szCs w:val="24"/>
          <w:lang w:val="en-GB"/>
        </w:rPr>
        <w:t>),</w:t>
      </w:r>
    </w:p>
    <w:p w:rsidR="00936278" w:rsidRDefault="00936278" w:rsidP="00936278">
      <w:pPr>
        <w:numPr>
          <w:ilvl w:val="0"/>
          <w:numId w:val="1"/>
        </w:numPr>
        <w:spacing w:after="0"/>
        <w:jc w:val="both"/>
        <w:rPr>
          <w:rFonts w:ascii="Arial" w:hAnsi="Arial" w:cs="Arial"/>
          <w:sz w:val="24"/>
          <w:szCs w:val="24"/>
        </w:rPr>
      </w:pPr>
      <w:proofErr w:type="spellStart"/>
      <w:r>
        <w:rPr>
          <w:rFonts w:ascii="Arial" w:hAnsi="Arial" w:cs="Arial"/>
          <w:sz w:val="24"/>
          <w:szCs w:val="24"/>
        </w:rPr>
        <w:t>Stelmi</w:t>
      </w:r>
      <w:proofErr w:type="spellEnd"/>
      <w:r>
        <w:rPr>
          <w:rFonts w:ascii="Arial" w:hAnsi="Arial" w:cs="Arial"/>
          <w:sz w:val="24"/>
          <w:szCs w:val="24"/>
        </w:rPr>
        <w:t xml:space="preserve"> C1394 6950 GS 6 gris, 20 mm (</w:t>
      </w:r>
      <w:proofErr w:type="spellStart"/>
      <w:r>
        <w:rPr>
          <w:rFonts w:ascii="Arial" w:hAnsi="Arial" w:cs="Arial"/>
          <w:sz w:val="24"/>
          <w:szCs w:val="24"/>
        </w:rPr>
        <w:t>Isobutileno</w:t>
      </w:r>
      <w:proofErr w:type="spellEnd"/>
      <w:r>
        <w:rPr>
          <w:rFonts w:ascii="Arial" w:hAnsi="Arial" w:cs="Arial"/>
          <w:sz w:val="24"/>
          <w:szCs w:val="24"/>
        </w:rPr>
        <w:t xml:space="preserve"> / para-</w:t>
      </w:r>
      <w:proofErr w:type="spellStart"/>
      <w:r>
        <w:rPr>
          <w:rFonts w:ascii="Arial" w:hAnsi="Arial" w:cs="Arial"/>
          <w:sz w:val="24"/>
          <w:szCs w:val="24"/>
        </w:rPr>
        <w:t>metilestireno</w:t>
      </w:r>
      <w:proofErr w:type="spellEnd"/>
      <w:r>
        <w:rPr>
          <w:rFonts w:ascii="Arial" w:hAnsi="Arial" w:cs="Arial"/>
          <w:sz w:val="24"/>
          <w:szCs w:val="24"/>
        </w:rPr>
        <w:t xml:space="preserve"> bromado (BIMS)) </w:t>
      </w:r>
      <w:proofErr w:type="spellStart"/>
      <w:r>
        <w:rPr>
          <w:rFonts w:ascii="Arial" w:hAnsi="Arial" w:cs="Arial"/>
          <w:sz w:val="24"/>
          <w:szCs w:val="24"/>
        </w:rPr>
        <w:t>ó</w:t>
      </w:r>
      <w:proofErr w:type="spellEnd"/>
    </w:p>
    <w:p w:rsidR="00936278" w:rsidRDefault="00936278" w:rsidP="00936278">
      <w:pPr>
        <w:numPr>
          <w:ilvl w:val="0"/>
          <w:numId w:val="1"/>
        </w:numPr>
        <w:spacing w:after="0"/>
        <w:jc w:val="both"/>
        <w:rPr>
          <w:rFonts w:ascii="Arial" w:hAnsi="Arial" w:cs="Arial"/>
          <w:sz w:val="24"/>
          <w:szCs w:val="24"/>
          <w:lang w:val="en-GB"/>
        </w:rPr>
      </w:pPr>
      <w:proofErr w:type="spellStart"/>
      <w:r>
        <w:rPr>
          <w:rFonts w:ascii="Arial" w:hAnsi="Arial" w:cs="Arial"/>
          <w:sz w:val="24"/>
          <w:szCs w:val="24"/>
          <w:lang w:val="en-GB"/>
        </w:rPr>
        <w:t>Helvoet</w:t>
      </w:r>
      <w:proofErr w:type="spellEnd"/>
      <w:r>
        <w:rPr>
          <w:rFonts w:ascii="Arial" w:hAnsi="Arial" w:cs="Arial"/>
          <w:sz w:val="24"/>
          <w:szCs w:val="24"/>
          <w:lang w:val="en-GB"/>
        </w:rPr>
        <w:t xml:space="preserve"> V9048 FM457/0 </w:t>
      </w:r>
      <w:proofErr w:type="spellStart"/>
      <w:r>
        <w:rPr>
          <w:rFonts w:ascii="Arial" w:hAnsi="Arial" w:cs="Arial"/>
          <w:sz w:val="24"/>
          <w:szCs w:val="24"/>
          <w:lang w:val="en-GB"/>
        </w:rPr>
        <w:t>gris</w:t>
      </w:r>
      <w:proofErr w:type="spellEnd"/>
      <w:r>
        <w:rPr>
          <w:rFonts w:ascii="Arial" w:hAnsi="Arial" w:cs="Arial"/>
          <w:sz w:val="24"/>
          <w:szCs w:val="24"/>
          <w:lang w:val="en-GB"/>
        </w:rPr>
        <w:t xml:space="preserve"> ISAF1, 20 mm (</w:t>
      </w:r>
      <w:proofErr w:type="spellStart"/>
      <w:r>
        <w:rPr>
          <w:rFonts w:ascii="Arial" w:hAnsi="Arial" w:cs="Arial"/>
          <w:sz w:val="24"/>
          <w:szCs w:val="24"/>
          <w:lang w:val="en-GB"/>
        </w:rPr>
        <w:t>bromobutilo</w:t>
      </w:r>
      <w:proofErr w:type="spellEnd"/>
      <w:r>
        <w:rPr>
          <w:rFonts w:ascii="Arial" w:hAnsi="Arial" w:cs="Arial"/>
          <w:sz w:val="24"/>
          <w:szCs w:val="24"/>
          <w:lang w:val="en-GB"/>
        </w:rPr>
        <w:t>);</w:t>
      </w:r>
    </w:p>
    <w:p w:rsidR="00936278" w:rsidRDefault="00936278" w:rsidP="00936278">
      <w:pPr>
        <w:spacing w:after="0"/>
        <w:jc w:val="both"/>
        <w:rPr>
          <w:rFonts w:ascii="Arial" w:hAnsi="Arial" w:cs="Arial"/>
          <w:sz w:val="24"/>
          <w:szCs w:val="24"/>
        </w:rPr>
      </w:pPr>
      <w:proofErr w:type="gramStart"/>
      <w:r>
        <w:rPr>
          <w:rFonts w:ascii="Arial" w:hAnsi="Arial" w:cs="Arial"/>
          <w:sz w:val="24"/>
          <w:szCs w:val="24"/>
        </w:rPr>
        <w:t>asegurado</w:t>
      </w:r>
      <w:proofErr w:type="gramEnd"/>
      <w:r>
        <w:rPr>
          <w:rFonts w:ascii="Arial" w:hAnsi="Arial" w:cs="Arial"/>
          <w:sz w:val="24"/>
          <w:szCs w:val="24"/>
        </w:rPr>
        <w:t xml:space="preserve"> con </w:t>
      </w:r>
      <w:proofErr w:type="spellStart"/>
      <w:r>
        <w:rPr>
          <w:rFonts w:ascii="Arial" w:hAnsi="Arial" w:cs="Arial"/>
          <w:sz w:val="24"/>
          <w:szCs w:val="24"/>
        </w:rPr>
        <w:t>crimp-cap</w:t>
      </w:r>
      <w:proofErr w:type="spellEnd"/>
      <w:r>
        <w:rPr>
          <w:rFonts w:ascii="Arial" w:hAnsi="Arial" w:cs="Arial"/>
          <w:sz w:val="24"/>
          <w:szCs w:val="24"/>
        </w:rPr>
        <w:t xml:space="preserve"> de </w:t>
      </w:r>
      <w:proofErr w:type="spellStart"/>
      <w:r>
        <w:rPr>
          <w:rFonts w:ascii="Arial" w:hAnsi="Arial" w:cs="Arial"/>
          <w:sz w:val="24"/>
          <w:szCs w:val="24"/>
        </w:rPr>
        <w:t>de</w:t>
      </w:r>
      <w:proofErr w:type="spellEnd"/>
      <w:r>
        <w:rPr>
          <w:rFonts w:ascii="Arial" w:hAnsi="Arial" w:cs="Arial"/>
          <w:sz w:val="24"/>
          <w:szCs w:val="24"/>
        </w:rPr>
        <w:t xml:space="preserve"> aluminio con un disco de plástico de polipropileno.</w:t>
      </w:r>
    </w:p>
    <w:p w:rsidR="00936278" w:rsidRDefault="00936278" w:rsidP="00936278">
      <w:pPr>
        <w:spacing w:after="0"/>
        <w:jc w:val="both"/>
        <w:rPr>
          <w:rFonts w:ascii="Arial" w:hAnsi="Arial" w:cs="Arial"/>
          <w:sz w:val="24"/>
          <w:szCs w:val="24"/>
        </w:rPr>
      </w:pPr>
      <w:r>
        <w:rPr>
          <w:rFonts w:ascii="Arial" w:hAnsi="Arial" w:cs="Arial"/>
          <w:sz w:val="24"/>
          <w:szCs w:val="24"/>
        </w:rPr>
        <w:t xml:space="preserve">5 g: botellas de 50 </w:t>
      </w:r>
      <w:proofErr w:type="spellStart"/>
      <w:r>
        <w:rPr>
          <w:rFonts w:ascii="Arial" w:hAnsi="Arial" w:cs="Arial"/>
          <w:sz w:val="24"/>
          <w:szCs w:val="24"/>
        </w:rPr>
        <w:t>mL</w:t>
      </w:r>
      <w:proofErr w:type="spellEnd"/>
      <w:r>
        <w:rPr>
          <w:rFonts w:ascii="Arial" w:hAnsi="Arial" w:cs="Arial"/>
          <w:sz w:val="24"/>
          <w:szCs w:val="24"/>
        </w:rPr>
        <w:t xml:space="preserve">, vidrio moldeado Tipo I, cuello de 32 </w:t>
      </w:r>
      <w:proofErr w:type="gramStart"/>
      <w:r>
        <w:rPr>
          <w:rFonts w:ascii="Arial" w:hAnsi="Arial" w:cs="Arial"/>
          <w:sz w:val="24"/>
          <w:szCs w:val="24"/>
        </w:rPr>
        <w:t>mm ,</w:t>
      </w:r>
      <w:proofErr w:type="gramEnd"/>
      <w:r>
        <w:rPr>
          <w:rFonts w:ascii="Arial" w:hAnsi="Arial" w:cs="Arial"/>
          <w:sz w:val="24"/>
          <w:szCs w:val="24"/>
        </w:rPr>
        <w:t xml:space="preserve"> con tapón de infusión tipo West 4541 PH 4104/40 gris 32 mm asegurado con </w:t>
      </w:r>
      <w:proofErr w:type="spellStart"/>
      <w:r>
        <w:rPr>
          <w:rFonts w:ascii="Arial" w:hAnsi="Arial" w:cs="Arial"/>
          <w:sz w:val="24"/>
          <w:szCs w:val="24"/>
        </w:rPr>
        <w:t>crimp-cap</w:t>
      </w:r>
      <w:proofErr w:type="spellEnd"/>
      <w:r>
        <w:rPr>
          <w:rFonts w:ascii="Arial" w:hAnsi="Arial" w:cs="Arial"/>
          <w:sz w:val="24"/>
          <w:szCs w:val="24"/>
        </w:rPr>
        <w:t xml:space="preserve"> de </w:t>
      </w:r>
      <w:proofErr w:type="spellStart"/>
      <w:r>
        <w:rPr>
          <w:rFonts w:ascii="Arial" w:hAnsi="Arial" w:cs="Arial"/>
          <w:sz w:val="24"/>
          <w:szCs w:val="24"/>
        </w:rPr>
        <w:t>de</w:t>
      </w:r>
      <w:proofErr w:type="spellEnd"/>
      <w:r>
        <w:rPr>
          <w:rFonts w:ascii="Arial" w:hAnsi="Arial" w:cs="Arial"/>
          <w:sz w:val="24"/>
          <w:szCs w:val="24"/>
        </w:rPr>
        <w:t xml:space="preserve"> aluminio con un disco de plástico de polipropileno.</w:t>
      </w:r>
    </w:p>
    <w:p w:rsidR="00936278" w:rsidRDefault="00936278" w:rsidP="00936278">
      <w:pPr>
        <w:spacing w:after="0"/>
        <w:jc w:val="both"/>
        <w:rPr>
          <w:rFonts w:ascii="Arial" w:hAnsi="Arial" w:cs="Arial"/>
          <w:sz w:val="24"/>
          <w:szCs w:val="24"/>
        </w:rPr>
      </w:pPr>
      <w:r>
        <w:rPr>
          <w:rFonts w:ascii="Arial" w:hAnsi="Arial" w:cs="Arial"/>
          <w:sz w:val="24"/>
          <w:szCs w:val="24"/>
        </w:rPr>
        <w:t xml:space="preserve">5 g: botellas de 50 </w:t>
      </w:r>
      <w:proofErr w:type="spellStart"/>
      <w:r>
        <w:rPr>
          <w:rFonts w:ascii="Arial" w:hAnsi="Arial" w:cs="Arial"/>
          <w:sz w:val="24"/>
          <w:szCs w:val="24"/>
        </w:rPr>
        <w:t>mL</w:t>
      </w:r>
      <w:proofErr w:type="spellEnd"/>
      <w:r>
        <w:rPr>
          <w:rFonts w:ascii="Arial" w:hAnsi="Arial" w:cs="Arial"/>
          <w:sz w:val="24"/>
          <w:szCs w:val="24"/>
        </w:rPr>
        <w:t>, vidrio moldeado Tipo II, cuello de 32 mm con tapón de infusión tipo:</w:t>
      </w:r>
    </w:p>
    <w:p w:rsidR="00936278" w:rsidRDefault="00936278" w:rsidP="00936278">
      <w:pPr>
        <w:numPr>
          <w:ilvl w:val="0"/>
          <w:numId w:val="2"/>
        </w:numPr>
        <w:spacing w:after="0"/>
        <w:jc w:val="both"/>
        <w:rPr>
          <w:rFonts w:ascii="Arial" w:hAnsi="Arial" w:cs="Arial"/>
          <w:sz w:val="24"/>
          <w:szCs w:val="24"/>
        </w:rPr>
      </w:pPr>
      <w:r>
        <w:rPr>
          <w:rFonts w:ascii="Arial" w:hAnsi="Arial" w:cs="Arial"/>
          <w:sz w:val="24"/>
          <w:szCs w:val="24"/>
        </w:rPr>
        <w:t>West 4541 PH 4104/40 gris, 32 mm</w:t>
      </w:r>
    </w:p>
    <w:p w:rsidR="00936278" w:rsidRDefault="00936278" w:rsidP="00936278">
      <w:pPr>
        <w:numPr>
          <w:ilvl w:val="0"/>
          <w:numId w:val="2"/>
        </w:numPr>
        <w:spacing w:after="0"/>
        <w:jc w:val="both"/>
        <w:rPr>
          <w:rFonts w:ascii="Arial" w:hAnsi="Arial" w:cs="Arial"/>
          <w:sz w:val="24"/>
          <w:szCs w:val="24"/>
          <w:lang w:val="en-GB"/>
        </w:rPr>
      </w:pPr>
      <w:proofErr w:type="spellStart"/>
      <w:r>
        <w:rPr>
          <w:rFonts w:ascii="Arial" w:hAnsi="Arial" w:cs="Arial"/>
          <w:sz w:val="24"/>
          <w:szCs w:val="24"/>
          <w:lang w:val="en-GB"/>
        </w:rPr>
        <w:t>Stelmi</w:t>
      </w:r>
      <w:proofErr w:type="spellEnd"/>
      <w:r>
        <w:rPr>
          <w:rFonts w:ascii="Arial" w:hAnsi="Arial" w:cs="Arial"/>
          <w:sz w:val="24"/>
          <w:szCs w:val="24"/>
          <w:lang w:val="en-GB"/>
        </w:rPr>
        <w:t xml:space="preserve"> C5001 6950 GS 6 DT </w:t>
      </w:r>
      <w:proofErr w:type="spellStart"/>
      <w:r>
        <w:rPr>
          <w:rFonts w:ascii="Arial" w:hAnsi="Arial" w:cs="Arial"/>
          <w:sz w:val="24"/>
          <w:szCs w:val="24"/>
          <w:lang w:val="en-GB"/>
        </w:rPr>
        <w:t>gris</w:t>
      </w:r>
      <w:proofErr w:type="spellEnd"/>
      <w:r>
        <w:rPr>
          <w:rFonts w:ascii="Arial" w:hAnsi="Arial" w:cs="Arial"/>
          <w:sz w:val="24"/>
          <w:szCs w:val="24"/>
          <w:lang w:val="en-GB"/>
        </w:rPr>
        <w:t>, 32 mm</w:t>
      </w:r>
    </w:p>
    <w:p w:rsidR="00936278" w:rsidRDefault="00936278" w:rsidP="00936278">
      <w:pPr>
        <w:numPr>
          <w:ilvl w:val="0"/>
          <w:numId w:val="2"/>
        </w:numPr>
        <w:spacing w:after="0"/>
        <w:jc w:val="both"/>
        <w:rPr>
          <w:rFonts w:ascii="Arial" w:hAnsi="Arial" w:cs="Arial"/>
          <w:sz w:val="24"/>
          <w:szCs w:val="24"/>
        </w:rPr>
      </w:pPr>
      <w:r>
        <w:rPr>
          <w:rFonts w:ascii="Arial" w:hAnsi="Arial" w:cs="Arial"/>
          <w:sz w:val="24"/>
          <w:szCs w:val="24"/>
        </w:rPr>
        <w:t>West 4443 4023/50 B2-42 gris,32 mm</w:t>
      </w:r>
    </w:p>
    <w:p w:rsidR="00936278" w:rsidRDefault="00936278" w:rsidP="00936278">
      <w:pPr>
        <w:spacing w:after="0"/>
        <w:jc w:val="both"/>
        <w:rPr>
          <w:rFonts w:ascii="Arial" w:hAnsi="Arial" w:cs="Arial"/>
          <w:sz w:val="24"/>
          <w:szCs w:val="24"/>
        </w:rPr>
      </w:pPr>
      <w:proofErr w:type="gramStart"/>
      <w:r>
        <w:rPr>
          <w:rFonts w:ascii="Arial" w:hAnsi="Arial" w:cs="Arial"/>
          <w:sz w:val="24"/>
          <w:szCs w:val="24"/>
        </w:rPr>
        <w:t>asegurado</w:t>
      </w:r>
      <w:proofErr w:type="gramEnd"/>
      <w:r>
        <w:rPr>
          <w:rFonts w:ascii="Arial" w:hAnsi="Arial" w:cs="Arial"/>
          <w:sz w:val="24"/>
          <w:szCs w:val="24"/>
        </w:rPr>
        <w:t xml:space="preserve"> con </w:t>
      </w:r>
      <w:proofErr w:type="spellStart"/>
      <w:r>
        <w:rPr>
          <w:rFonts w:ascii="Arial" w:hAnsi="Arial" w:cs="Arial"/>
          <w:sz w:val="24"/>
          <w:szCs w:val="24"/>
        </w:rPr>
        <w:t>crimp-cap</w:t>
      </w:r>
      <w:proofErr w:type="spellEnd"/>
      <w:r>
        <w:rPr>
          <w:rFonts w:ascii="Arial" w:hAnsi="Arial" w:cs="Arial"/>
          <w:sz w:val="24"/>
          <w:szCs w:val="24"/>
        </w:rPr>
        <w:t xml:space="preserve"> de </w:t>
      </w:r>
      <w:proofErr w:type="spellStart"/>
      <w:r>
        <w:rPr>
          <w:rFonts w:ascii="Arial" w:hAnsi="Arial" w:cs="Arial"/>
          <w:sz w:val="24"/>
          <w:szCs w:val="24"/>
        </w:rPr>
        <w:t>de</w:t>
      </w:r>
      <w:proofErr w:type="spellEnd"/>
      <w:r>
        <w:rPr>
          <w:rFonts w:ascii="Arial" w:hAnsi="Arial" w:cs="Arial"/>
          <w:sz w:val="24"/>
          <w:szCs w:val="24"/>
        </w:rPr>
        <w:t xml:space="preserve"> aluminio con un disco de plástico de polipropileno.</w:t>
      </w:r>
    </w:p>
    <w:p w:rsidR="00936278" w:rsidRDefault="00936278" w:rsidP="00936278">
      <w:pPr>
        <w:spacing w:after="0"/>
        <w:jc w:val="both"/>
        <w:rPr>
          <w:rFonts w:ascii="Arial" w:hAnsi="Arial" w:cs="Arial"/>
          <w:sz w:val="24"/>
          <w:szCs w:val="24"/>
        </w:rPr>
      </w:pPr>
      <w:r>
        <w:rPr>
          <w:rFonts w:ascii="Arial" w:hAnsi="Arial" w:cs="Arial"/>
          <w:sz w:val="24"/>
          <w:szCs w:val="24"/>
        </w:rPr>
        <w:t xml:space="preserve">10 g: botellas de 100 </w:t>
      </w:r>
      <w:proofErr w:type="spellStart"/>
      <w:r>
        <w:rPr>
          <w:rFonts w:ascii="Arial" w:hAnsi="Arial" w:cs="Arial"/>
          <w:sz w:val="24"/>
          <w:szCs w:val="24"/>
        </w:rPr>
        <w:t>mL</w:t>
      </w:r>
      <w:proofErr w:type="spellEnd"/>
      <w:r>
        <w:rPr>
          <w:rFonts w:ascii="Arial" w:hAnsi="Arial" w:cs="Arial"/>
          <w:sz w:val="24"/>
          <w:szCs w:val="24"/>
        </w:rPr>
        <w:t xml:space="preserve">, vidrio moldeado Tipo I, cuello de 32 mm con tapón de infusión tipo West 4541 PH 4104/40 gris 32 mm asegurado con </w:t>
      </w:r>
      <w:proofErr w:type="spellStart"/>
      <w:r>
        <w:rPr>
          <w:rFonts w:ascii="Arial" w:hAnsi="Arial" w:cs="Arial"/>
          <w:sz w:val="24"/>
          <w:szCs w:val="24"/>
        </w:rPr>
        <w:t>crimp-cap</w:t>
      </w:r>
      <w:proofErr w:type="spellEnd"/>
      <w:r>
        <w:rPr>
          <w:rFonts w:ascii="Arial" w:hAnsi="Arial" w:cs="Arial"/>
          <w:sz w:val="24"/>
          <w:szCs w:val="24"/>
        </w:rPr>
        <w:t xml:space="preserve"> de </w:t>
      </w:r>
      <w:proofErr w:type="spellStart"/>
      <w:r>
        <w:rPr>
          <w:rFonts w:ascii="Arial" w:hAnsi="Arial" w:cs="Arial"/>
          <w:sz w:val="24"/>
          <w:szCs w:val="24"/>
        </w:rPr>
        <w:t>de</w:t>
      </w:r>
      <w:proofErr w:type="spellEnd"/>
      <w:r>
        <w:rPr>
          <w:rFonts w:ascii="Arial" w:hAnsi="Arial" w:cs="Arial"/>
          <w:sz w:val="24"/>
          <w:szCs w:val="24"/>
        </w:rPr>
        <w:t xml:space="preserve"> aluminio con un disco de plástico de polipropileno.</w:t>
      </w:r>
    </w:p>
    <w:p w:rsidR="00936278" w:rsidRDefault="00936278" w:rsidP="00936278">
      <w:pPr>
        <w:spacing w:after="0"/>
        <w:jc w:val="both"/>
        <w:rPr>
          <w:rFonts w:ascii="Arial" w:hAnsi="Arial" w:cs="Arial"/>
          <w:sz w:val="24"/>
          <w:szCs w:val="24"/>
        </w:rPr>
      </w:pPr>
      <w:r>
        <w:rPr>
          <w:rFonts w:ascii="Arial" w:hAnsi="Arial" w:cs="Arial"/>
          <w:sz w:val="24"/>
          <w:szCs w:val="24"/>
        </w:rPr>
        <w:t xml:space="preserve">10 g: botellas de 100 </w:t>
      </w:r>
      <w:proofErr w:type="spellStart"/>
      <w:r>
        <w:rPr>
          <w:rFonts w:ascii="Arial" w:hAnsi="Arial" w:cs="Arial"/>
          <w:sz w:val="24"/>
          <w:szCs w:val="24"/>
        </w:rPr>
        <w:t>mL</w:t>
      </w:r>
      <w:proofErr w:type="spellEnd"/>
      <w:r>
        <w:rPr>
          <w:rFonts w:ascii="Arial" w:hAnsi="Arial" w:cs="Arial"/>
          <w:sz w:val="24"/>
          <w:szCs w:val="24"/>
        </w:rPr>
        <w:t>, vidrio moldeado Tipo II, cuello de 32 mm con tapón de infusión tipo:</w:t>
      </w:r>
    </w:p>
    <w:p w:rsidR="00936278" w:rsidRDefault="00936278" w:rsidP="00936278">
      <w:pPr>
        <w:numPr>
          <w:ilvl w:val="0"/>
          <w:numId w:val="2"/>
        </w:numPr>
        <w:spacing w:after="0"/>
        <w:jc w:val="both"/>
        <w:rPr>
          <w:rFonts w:ascii="Arial" w:hAnsi="Arial" w:cs="Arial"/>
          <w:sz w:val="24"/>
          <w:szCs w:val="24"/>
        </w:rPr>
      </w:pPr>
      <w:r>
        <w:rPr>
          <w:rFonts w:ascii="Arial" w:hAnsi="Arial" w:cs="Arial"/>
          <w:sz w:val="24"/>
          <w:szCs w:val="24"/>
        </w:rPr>
        <w:t>West 4541 PH 4104/40 gris, 32 mm</w:t>
      </w:r>
    </w:p>
    <w:p w:rsidR="00936278" w:rsidRDefault="00936278" w:rsidP="00936278">
      <w:pPr>
        <w:numPr>
          <w:ilvl w:val="0"/>
          <w:numId w:val="2"/>
        </w:numPr>
        <w:spacing w:after="0"/>
        <w:jc w:val="both"/>
        <w:rPr>
          <w:rFonts w:ascii="Arial" w:hAnsi="Arial" w:cs="Arial"/>
          <w:sz w:val="24"/>
          <w:szCs w:val="24"/>
          <w:lang w:val="en-GB"/>
        </w:rPr>
      </w:pPr>
      <w:proofErr w:type="spellStart"/>
      <w:r>
        <w:rPr>
          <w:rFonts w:ascii="Arial" w:hAnsi="Arial" w:cs="Arial"/>
          <w:sz w:val="24"/>
          <w:szCs w:val="24"/>
          <w:lang w:val="en-GB"/>
        </w:rPr>
        <w:t>Stelmi</w:t>
      </w:r>
      <w:proofErr w:type="spellEnd"/>
      <w:r>
        <w:rPr>
          <w:rFonts w:ascii="Arial" w:hAnsi="Arial" w:cs="Arial"/>
          <w:sz w:val="24"/>
          <w:szCs w:val="24"/>
          <w:lang w:val="en-GB"/>
        </w:rPr>
        <w:t xml:space="preserve"> C5001 6950 GS 6 DT </w:t>
      </w:r>
      <w:proofErr w:type="spellStart"/>
      <w:r>
        <w:rPr>
          <w:rFonts w:ascii="Arial" w:hAnsi="Arial" w:cs="Arial"/>
          <w:sz w:val="24"/>
          <w:szCs w:val="24"/>
          <w:lang w:val="en-GB"/>
        </w:rPr>
        <w:t>gris</w:t>
      </w:r>
      <w:proofErr w:type="spellEnd"/>
      <w:r>
        <w:rPr>
          <w:rFonts w:ascii="Arial" w:hAnsi="Arial" w:cs="Arial"/>
          <w:sz w:val="24"/>
          <w:szCs w:val="24"/>
          <w:lang w:val="en-GB"/>
        </w:rPr>
        <w:t>, 32 mm</w:t>
      </w:r>
    </w:p>
    <w:p w:rsidR="00936278" w:rsidRDefault="00936278" w:rsidP="00936278">
      <w:pPr>
        <w:numPr>
          <w:ilvl w:val="0"/>
          <w:numId w:val="2"/>
        </w:numPr>
        <w:spacing w:after="0"/>
        <w:jc w:val="both"/>
        <w:rPr>
          <w:rFonts w:ascii="Arial" w:hAnsi="Arial" w:cs="Arial"/>
          <w:sz w:val="24"/>
          <w:szCs w:val="24"/>
        </w:rPr>
      </w:pPr>
      <w:r>
        <w:rPr>
          <w:rFonts w:ascii="Arial" w:hAnsi="Arial" w:cs="Arial"/>
          <w:sz w:val="24"/>
          <w:szCs w:val="24"/>
        </w:rPr>
        <w:t>West 4443 4023/50 B2-42 gris,32 mm</w:t>
      </w:r>
    </w:p>
    <w:p w:rsidR="00936278" w:rsidRDefault="00936278" w:rsidP="00936278">
      <w:pPr>
        <w:spacing w:after="0"/>
        <w:jc w:val="both"/>
        <w:rPr>
          <w:rFonts w:ascii="Arial" w:hAnsi="Arial" w:cs="Arial"/>
          <w:sz w:val="24"/>
          <w:szCs w:val="24"/>
        </w:rPr>
      </w:pPr>
      <w:proofErr w:type="gramStart"/>
      <w:r>
        <w:rPr>
          <w:rFonts w:ascii="Arial" w:hAnsi="Arial" w:cs="Arial"/>
          <w:sz w:val="24"/>
          <w:szCs w:val="24"/>
        </w:rPr>
        <w:t>asegurado</w:t>
      </w:r>
      <w:proofErr w:type="gramEnd"/>
      <w:r>
        <w:rPr>
          <w:rFonts w:ascii="Arial" w:hAnsi="Arial" w:cs="Arial"/>
          <w:sz w:val="24"/>
          <w:szCs w:val="24"/>
        </w:rPr>
        <w:t xml:space="preserve"> con </w:t>
      </w:r>
      <w:proofErr w:type="spellStart"/>
      <w:r>
        <w:rPr>
          <w:rFonts w:ascii="Arial" w:hAnsi="Arial" w:cs="Arial"/>
          <w:sz w:val="24"/>
          <w:szCs w:val="24"/>
        </w:rPr>
        <w:t>crimp-cap</w:t>
      </w:r>
      <w:proofErr w:type="spellEnd"/>
      <w:r>
        <w:rPr>
          <w:rFonts w:ascii="Arial" w:hAnsi="Arial" w:cs="Arial"/>
          <w:sz w:val="24"/>
          <w:szCs w:val="24"/>
        </w:rPr>
        <w:t xml:space="preserve"> de </w:t>
      </w:r>
      <w:proofErr w:type="spellStart"/>
      <w:r>
        <w:rPr>
          <w:rFonts w:ascii="Arial" w:hAnsi="Arial" w:cs="Arial"/>
          <w:sz w:val="24"/>
          <w:szCs w:val="24"/>
        </w:rPr>
        <w:t>de</w:t>
      </w:r>
      <w:proofErr w:type="spellEnd"/>
      <w:r>
        <w:rPr>
          <w:rFonts w:ascii="Arial" w:hAnsi="Arial" w:cs="Arial"/>
          <w:sz w:val="24"/>
          <w:szCs w:val="24"/>
        </w:rPr>
        <w:t xml:space="preserve"> aluminio con un disco de plástico de polipropileno.</w:t>
      </w:r>
    </w:p>
    <w:p w:rsidR="00936278" w:rsidRDefault="00936278" w:rsidP="00936278">
      <w:pPr>
        <w:spacing w:after="0"/>
        <w:jc w:val="both"/>
        <w:rPr>
          <w:rFonts w:ascii="Arial" w:hAnsi="Arial" w:cs="Arial"/>
          <w:sz w:val="24"/>
          <w:szCs w:val="24"/>
        </w:rPr>
      </w:pPr>
      <w:r>
        <w:rPr>
          <w:rFonts w:ascii="Arial" w:hAnsi="Arial" w:cs="Arial"/>
          <w:sz w:val="24"/>
          <w:szCs w:val="24"/>
        </w:rPr>
        <w:t xml:space="preserve">20 g: botellas de 200 </w:t>
      </w:r>
      <w:proofErr w:type="spellStart"/>
      <w:r>
        <w:rPr>
          <w:rFonts w:ascii="Arial" w:hAnsi="Arial" w:cs="Arial"/>
          <w:sz w:val="24"/>
          <w:szCs w:val="24"/>
        </w:rPr>
        <w:t>mL</w:t>
      </w:r>
      <w:proofErr w:type="spellEnd"/>
      <w:r>
        <w:rPr>
          <w:rFonts w:ascii="Arial" w:hAnsi="Arial" w:cs="Arial"/>
          <w:sz w:val="24"/>
          <w:szCs w:val="24"/>
        </w:rPr>
        <w:t>, vidrio moldeado Tipo II, cuello de 32 mm con tapón de infusión tipo:</w:t>
      </w:r>
    </w:p>
    <w:p w:rsidR="00936278" w:rsidRDefault="00936278" w:rsidP="00936278">
      <w:pPr>
        <w:numPr>
          <w:ilvl w:val="0"/>
          <w:numId w:val="2"/>
        </w:numPr>
        <w:spacing w:after="0"/>
        <w:jc w:val="both"/>
        <w:rPr>
          <w:rFonts w:ascii="Arial" w:hAnsi="Arial" w:cs="Arial"/>
          <w:sz w:val="24"/>
          <w:szCs w:val="24"/>
        </w:rPr>
      </w:pPr>
      <w:r>
        <w:rPr>
          <w:rFonts w:ascii="Arial" w:hAnsi="Arial" w:cs="Arial"/>
          <w:sz w:val="24"/>
          <w:szCs w:val="24"/>
        </w:rPr>
        <w:t>West 4541 PH 4104/40 gris, 32 mm</w:t>
      </w:r>
    </w:p>
    <w:p w:rsidR="00936278" w:rsidRDefault="00936278" w:rsidP="00936278">
      <w:pPr>
        <w:numPr>
          <w:ilvl w:val="0"/>
          <w:numId w:val="2"/>
        </w:numPr>
        <w:spacing w:after="0"/>
        <w:jc w:val="both"/>
        <w:rPr>
          <w:rFonts w:ascii="Arial" w:hAnsi="Arial" w:cs="Arial"/>
          <w:sz w:val="24"/>
          <w:szCs w:val="24"/>
          <w:lang w:val="en-GB"/>
        </w:rPr>
      </w:pPr>
      <w:proofErr w:type="spellStart"/>
      <w:r>
        <w:rPr>
          <w:rFonts w:ascii="Arial" w:hAnsi="Arial" w:cs="Arial"/>
          <w:sz w:val="24"/>
          <w:szCs w:val="24"/>
          <w:lang w:val="en-GB"/>
        </w:rPr>
        <w:t>Stelmi</w:t>
      </w:r>
      <w:proofErr w:type="spellEnd"/>
      <w:r>
        <w:rPr>
          <w:rFonts w:ascii="Arial" w:hAnsi="Arial" w:cs="Arial"/>
          <w:sz w:val="24"/>
          <w:szCs w:val="24"/>
          <w:lang w:val="en-GB"/>
        </w:rPr>
        <w:t xml:space="preserve"> C5001 6950 GS 6 DT </w:t>
      </w:r>
      <w:proofErr w:type="spellStart"/>
      <w:r>
        <w:rPr>
          <w:rFonts w:ascii="Arial" w:hAnsi="Arial" w:cs="Arial"/>
          <w:sz w:val="24"/>
          <w:szCs w:val="24"/>
          <w:lang w:val="en-GB"/>
        </w:rPr>
        <w:t>gris</w:t>
      </w:r>
      <w:proofErr w:type="spellEnd"/>
      <w:r>
        <w:rPr>
          <w:rFonts w:ascii="Arial" w:hAnsi="Arial" w:cs="Arial"/>
          <w:sz w:val="24"/>
          <w:szCs w:val="24"/>
          <w:lang w:val="en-GB"/>
        </w:rPr>
        <w:t>, 32 mm</w:t>
      </w:r>
    </w:p>
    <w:p w:rsidR="00936278" w:rsidRDefault="00936278" w:rsidP="00936278">
      <w:pPr>
        <w:numPr>
          <w:ilvl w:val="0"/>
          <w:numId w:val="2"/>
        </w:numPr>
        <w:spacing w:after="0"/>
        <w:jc w:val="both"/>
        <w:rPr>
          <w:rFonts w:ascii="Arial" w:hAnsi="Arial" w:cs="Arial"/>
          <w:sz w:val="24"/>
          <w:szCs w:val="24"/>
        </w:rPr>
      </w:pPr>
      <w:r>
        <w:rPr>
          <w:rFonts w:ascii="Arial" w:hAnsi="Arial" w:cs="Arial"/>
          <w:sz w:val="24"/>
          <w:szCs w:val="24"/>
        </w:rPr>
        <w:t>West 4443 4023/50 B2-42 gris,32 mm</w:t>
      </w:r>
    </w:p>
    <w:p w:rsidR="00936278" w:rsidRDefault="00936278" w:rsidP="00936278">
      <w:pPr>
        <w:spacing w:after="0"/>
        <w:jc w:val="both"/>
        <w:rPr>
          <w:rFonts w:ascii="Arial" w:hAnsi="Arial" w:cs="Arial"/>
          <w:sz w:val="24"/>
          <w:szCs w:val="24"/>
        </w:rPr>
      </w:pPr>
      <w:proofErr w:type="gramStart"/>
      <w:r>
        <w:rPr>
          <w:rFonts w:ascii="Arial" w:hAnsi="Arial" w:cs="Arial"/>
          <w:sz w:val="24"/>
          <w:szCs w:val="24"/>
        </w:rPr>
        <w:t>asegurado</w:t>
      </w:r>
      <w:proofErr w:type="gramEnd"/>
      <w:r>
        <w:rPr>
          <w:rFonts w:ascii="Arial" w:hAnsi="Arial" w:cs="Arial"/>
          <w:sz w:val="24"/>
          <w:szCs w:val="24"/>
        </w:rPr>
        <w:t xml:space="preserve"> con </w:t>
      </w:r>
      <w:proofErr w:type="spellStart"/>
      <w:r>
        <w:rPr>
          <w:rFonts w:ascii="Arial" w:hAnsi="Arial" w:cs="Arial"/>
          <w:sz w:val="24"/>
          <w:szCs w:val="24"/>
        </w:rPr>
        <w:t>crimp-cap</w:t>
      </w:r>
      <w:proofErr w:type="spellEnd"/>
      <w:r>
        <w:rPr>
          <w:rFonts w:ascii="Arial" w:hAnsi="Arial" w:cs="Arial"/>
          <w:sz w:val="24"/>
          <w:szCs w:val="24"/>
        </w:rPr>
        <w:t xml:space="preserve"> de </w:t>
      </w:r>
      <w:proofErr w:type="spellStart"/>
      <w:r>
        <w:rPr>
          <w:rFonts w:ascii="Arial" w:hAnsi="Arial" w:cs="Arial"/>
          <w:sz w:val="24"/>
          <w:szCs w:val="24"/>
        </w:rPr>
        <w:t>de</w:t>
      </w:r>
      <w:proofErr w:type="spellEnd"/>
      <w:r>
        <w:rPr>
          <w:rFonts w:ascii="Arial" w:hAnsi="Arial" w:cs="Arial"/>
          <w:sz w:val="24"/>
          <w:szCs w:val="24"/>
        </w:rPr>
        <w:t xml:space="preserve"> aluminio con un disco de plástico de polipropileno.</w:t>
      </w:r>
    </w:p>
    <w:p w:rsidR="00936278" w:rsidRDefault="00936278" w:rsidP="00936278">
      <w:pPr>
        <w:spacing w:after="0"/>
        <w:jc w:val="both"/>
        <w:rPr>
          <w:rFonts w:ascii="Arial" w:hAnsi="Arial" w:cs="Arial"/>
          <w:sz w:val="24"/>
          <w:szCs w:val="24"/>
        </w:rPr>
      </w:pPr>
    </w:p>
    <w:p w:rsidR="00936278" w:rsidRDefault="00936278" w:rsidP="00936278">
      <w:pPr>
        <w:spacing w:after="0"/>
        <w:jc w:val="both"/>
        <w:rPr>
          <w:rFonts w:ascii="Arial" w:hAnsi="Arial" w:cs="Arial"/>
          <w:sz w:val="24"/>
          <w:szCs w:val="24"/>
        </w:rPr>
      </w:pPr>
      <w:r>
        <w:rPr>
          <w:rFonts w:ascii="Arial" w:hAnsi="Arial" w:cs="Arial"/>
          <w:sz w:val="24"/>
          <w:szCs w:val="24"/>
        </w:rPr>
        <w:t xml:space="preserve">Todos los tapones son libres de látex y </w:t>
      </w:r>
      <w:proofErr w:type="spellStart"/>
      <w:r>
        <w:rPr>
          <w:rFonts w:ascii="Arial" w:hAnsi="Arial" w:cs="Arial"/>
          <w:sz w:val="24"/>
          <w:szCs w:val="24"/>
        </w:rPr>
        <w:t>nitrosaminas</w:t>
      </w:r>
      <w:proofErr w:type="spellEnd"/>
    </w:p>
    <w:tbl>
      <w:tblPr>
        <w:tblW w:w="9030" w:type="dxa"/>
        <w:tblLayout w:type="fixed"/>
        <w:tblCellMar>
          <w:left w:w="70" w:type="dxa"/>
          <w:right w:w="70" w:type="dxa"/>
        </w:tblCellMar>
        <w:tblLook w:val="04A0" w:firstRow="1" w:lastRow="0" w:firstColumn="1" w:lastColumn="0" w:noHBand="0" w:noVBand="1"/>
      </w:tblPr>
      <w:tblGrid>
        <w:gridCol w:w="9030"/>
      </w:tblGrid>
      <w:tr w:rsidR="00936278" w:rsidTr="00936278">
        <w:trPr>
          <w:trHeight w:val="614"/>
        </w:trPr>
        <w:tc>
          <w:tcPr>
            <w:tcW w:w="9037" w:type="dxa"/>
          </w:tcPr>
          <w:p w:rsidR="00936278" w:rsidRDefault="00936278">
            <w:pPr>
              <w:jc w:val="both"/>
              <w:rPr>
                <w:rFonts w:ascii="Arial" w:hAnsi="Arial" w:cs="Arial"/>
                <w:sz w:val="24"/>
                <w:szCs w:val="24"/>
              </w:rPr>
            </w:pPr>
          </w:p>
        </w:tc>
      </w:tr>
    </w:tbl>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ind w:left="2124" w:firstLine="708"/>
        <w:rPr>
          <w:rFonts w:ascii="Arial" w:hAnsi="Arial" w:cs="Arial"/>
          <w:sz w:val="24"/>
          <w:szCs w:val="24"/>
        </w:rPr>
      </w:pPr>
    </w:p>
    <w:p w:rsidR="00936278" w:rsidRDefault="00936278" w:rsidP="00936278">
      <w:pPr>
        <w:jc w:val="center"/>
        <w:rPr>
          <w:rFonts w:ascii="Arial" w:eastAsia="Times New Roman" w:hAnsi="Arial" w:cs="Arial"/>
          <w:b/>
          <w:sz w:val="28"/>
          <w:szCs w:val="24"/>
          <w:u w:val="single"/>
          <w:lang w:val="es-ES" w:eastAsia="es-ES"/>
        </w:rPr>
      </w:pPr>
      <w:r>
        <w:rPr>
          <w:rFonts w:ascii="Arial" w:eastAsia="Times New Roman" w:hAnsi="Arial" w:cs="Arial"/>
          <w:b/>
          <w:sz w:val="28"/>
          <w:szCs w:val="24"/>
          <w:u w:val="single"/>
          <w:lang w:val="es-ES" w:eastAsia="es-ES"/>
        </w:rPr>
        <w:t>Datos Clínicos</w:t>
      </w:r>
    </w:p>
    <w:p w:rsidR="00936278" w:rsidRDefault="00936278" w:rsidP="00936278">
      <w:pPr>
        <w:pStyle w:val="Default"/>
        <w:rPr>
          <w:rFonts w:ascii="Arial" w:hAnsi="Arial" w:cs="Arial"/>
          <w:color w:val="auto"/>
        </w:rPr>
      </w:pPr>
      <w:r>
        <w:rPr>
          <w:rFonts w:ascii="Arial" w:hAnsi="Arial" w:cs="Arial"/>
          <w:b/>
          <w:color w:val="auto"/>
        </w:rPr>
        <w:t xml:space="preserve">Indicaciones terapéuticas: </w:t>
      </w:r>
    </w:p>
    <w:p w:rsidR="00936278" w:rsidRDefault="00936278" w:rsidP="00936278">
      <w:pPr>
        <w:spacing w:line="240" w:lineRule="auto"/>
        <w:rPr>
          <w:rFonts w:ascii="Arial" w:hAnsi="Arial" w:cs="Arial"/>
          <w:sz w:val="24"/>
          <w:szCs w:val="24"/>
          <w:u w:val="single"/>
        </w:rPr>
      </w:pPr>
      <w:r>
        <w:rPr>
          <w:rFonts w:ascii="Arial" w:hAnsi="Arial" w:cs="Arial"/>
          <w:sz w:val="24"/>
          <w:szCs w:val="24"/>
          <w:u w:val="single"/>
        </w:rPr>
        <w:t>Terapia de reemplazo en</w:t>
      </w:r>
    </w:p>
    <w:p w:rsidR="00936278" w:rsidRDefault="00936278" w:rsidP="00936278">
      <w:pPr>
        <w:spacing w:line="240" w:lineRule="auto"/>
        <w:rPr>
          <w:rFonts w:ascii="Arial" w:hAnsi="Arial" w:cs="Arial"/>
          <w:sz w:val="24"/>
          <w:szCs w:val="24"/>
        </w:rPr>
      </w:pPr>
      <w:r>
        <w:rPr>
          <w:rFonts w:ascii="Arial" w:hAnsi="Arial" w:cs="Arial"/>
          <w:sz w:val="24"/>
          <w:szCs w:val="24"/>
        </w:rPr>
        <w:t>• Síndromes de inmunodeficiencia primaria (IDP) tales como:</w:t>
      </w:r>
    </w:p>
    <w:p w:rsidR="00936278" w:rsidRDefault="00936278" w:rsidP="00936278">
      <w:pPr>
        <w:spacing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agammaglobulinemia</w:t>
      </w:r>
      <w:proofErr w:type="spellEnd"/>
      <w:r>
        <w:rPr>
          <w:rFonts w:ascii="Arial" w:hAnsi="Arial" w:cs="Arial"/>
          <w:sz w:val="24"/>
          <w:szCs w:val="24"/>
        </w:rPr>
        <w:t xml:space="preserve"> e </w:t>
      </w:r>
      <w:proofErr w:type="spellStart"/>
      <w:r>
        <w:rPr>
          <w:rFonts w:ascii="Arial" w:hAnsi="Arial" w:cs="Arial"/>
          <w:sz w:val="24"/>
          <w:szCs w:val="24"/>
        </w:rPr>
        <w:t>hipogammaglobulinemia</w:t>
      </w:r>
      <w:proofErr w:type="spellEnd"/>
      <w:r>
        <w:rPr>
          <w:rFonts w:ascii="Arial" w:hAnsi="Arial" w:cs="Arial"/>
          <w:sz w:val="24"/>
          <w:szCs w:val="24"/>
        </w:rPr>
        <w:t xml:space="preserve"> congénitas</w:t>
      </w:r>
    </w:p>
    <w:p w:rsidR="00936278" w:rsidRDefault="00936278" w:rsidP="00936278">
      <w:pPr>
        <w:spacing w:line="240" w:lineRule="auto"/>
        <w:rPr>
          <w:rFonts w:ascii="Arial" w:hAnsi="Arial" w:cs="Arial"/>
          <w:sz w:val="24"/>
          <w:szCs w:val="24"/>
        </w:rPr>
      </w:pPr>
      <w:r>
        <w:rPr>
          <w:rFonts w:ascii="Arial" w:hAnsi="Arial" w:cs="Arial"/>
          <w:sz w:val="24"/>
          <w:szCs w:val="24"/>
        </w:rPr>
        <w:t>– inmunodeficiencia común variable</w:t>
      </w:r>
    </w:p>
    <w:p w:rsidR="00936278" w:rsidRDefault="00936278" w:rsidP="00936278">
      <w:pPr>
        <w:spacing w:line="240" w:lineRule="auto"/>
        <w:rPr>
          <w:rFonts w:ascii="Arial" w:hAnsi="Arial" w:cs="Arial"/>
          <w:sz w:val="24"/>
          <w:szCs w:val="24"/>
        </w:rPr>
      </w:pPr>
      <w:r>
        <w:rPr>
          <w:rFonts w:ascii="Arial" w:hAnsi="Arial" w:cs="Arial"/>
          <w:sz w:val="24"/>
          <w:szCs w:val="24"/>
        </w:rPr>
        <w:t>– inmunodeficiencia combinada grave</w:t>
      </w:r>
    </w:p>
    <w:p w:rsidR="00936278" w:rsidRDefault="00936278" w:rsidP="00936278">
      <w:pPr>
        <w:spacing w:line="240" w:lineRule="auto"/>
        <w:rPr>
          <w:rFonts w:ascii="Arial" w:hAnsi="Arial" w:cs="Arial"/>
          <w:sz w:val="24"/>
          <w:szCs w:val="24"/>
        </w:rPr>
      </w:pPr>
      <w:r>
        <w:rPr>
          <w:rFonts w:ascii="Arial" w:hAnsi="Arial" w:cs="Arial"/>
          <w:sz w:val="24"/>
          <w:szCs w:val="24"/>
        </w:rPr>
        <w:t xml:space="preserve">– síndrome de </w:t>
      </w:r>
      <w:proofErr w:type="spellStart"/>
      <w:r>
        <w:rPr>
          <w:rFonts w:ascii="Arial" w:hAnsi="Arial" w:cs="Arial"/>
          <w:sz w:val="24"/>
          <w:szCs w:val="24"/>
        </w:rPr>
        <w:t>Wiskott-Aldrich</w:t>
      </w:r>
      <w:proofErr w:type="spellEnd"/>
    </w:p>
    <w:p w:rsidR="00936278" w:rsidRDefault="00936278" w:rsidP="00936278">
      <w:pPr>
        <w:spacing w:line="240" w:lineRule="auto"/>
        <w:rPr>
          <w:rFonts w:ascii="Arial" w:hAnsi="Arial" w:cs="Arial"/>
          <w:sz w:val="24"/>
          <w:szCs w:val="24"/>
        </w:rPr>
      </w:pPr>
      <w:r>
        <w:rPr>
          <w:rFonts w:ascii="Arial" w:hAnsi="Arial" w:cs="Arial"/>
          <w:sz w:val="24"/>
          <w:szCs w:val="24"/>
        </w:rPr>
        <w:t xml:space="preserve">• Mieloma o leucemia linfocítica crónica con </w:t>
      </w:r>
      <w:proofErr w:type="spellStart"/>
      <w:r>
        <w:rPr>
          <w:rFonts w:ascii="Arial" w:hAnsi="Arial" w:cs="Arial"/>
          <w:sz w:val="24"/>
          <w:szCs w:val="24"/>
        </w:rPr>
        <w:t>hipogammaglobulinemia</w:t>
      </w:r>
      <w:proofErr w:type="spellEnd"/>
      <w:r>
        <w:rPr>
          <w:rFonts w:ascii="Arial" w:hAnsi="Arial" w:cs="Arial"/>
          <w:sz w:val="24"/>
          <w:szCs w:val="24"/>
        </w:rPr>
        <w:t xml:space="preserve"> secundaria grave e infecciones recurrentes</w:t>
      </w:r>
    </w:p>
    <w:p w:rsidR="00936278" w:rsidRDefault="00936278" w:rsidP="00936278">
      <w:pPr>
        <w:spacing w:line="240" w:lineRule="auto"/>
        <w:rPr>
          <w:rFonts w:ascii="Arial" w:hAnsi="Arial" w:cs="Arial"/>
          <w:sz w:val="24"/>
          <w:szCs w:val="24"/>
        </w:rPr>
      </w:pPr>
      <w:r>
        <w:rPr>
          <w:rFonts w:ascii="Arial" w:hAnsi="Arial" w:cs="Arial"/>
          <w:sz w:val="24"/>
          <w:szCs w:val="24"/>
        </w:rPr>
        <w:t>• Niños con SIDA congénito e infecciones recurrentes</w:t>
      </w:r>
    </w:p>
    <w:p w:rsidR="00936278" w:rsidRDefault="00936278" w:rsidP="00936278">
      <w:pPr>
        <w:spacing w:line="240" w:lineRule="auto"/>
        <w:rPr>
          <w:rFonts w:ascii="Arial" w:hAnsi="Arial" w:cs="Arial"/>
          <w:sz w:val="24"/>
          <w:szCs w:val="24"/>
          <w:u w:val="single"/>
        </w:rPr>
      </w:pPr>
      <w:proofErr w:type="spellStart"/>
      <w:r>
        <w:rPr>
          <w:rFonts w:ascii="Arial" w:hAnsi="Arial" w:cs="Arial"/>
          <w:sz w:val="24"/>
          <w:szCs w:val="24"/>
          <w:u w:val="single"/>
        </w:rPr>
        <w:t>Inmunomodulación</w:t>
      </w:r>
      <w:proofErr w:type="spellEnd"/>
    </w:p>
    <w:p w:rsidR="00936278" w:rsidRDefault="00936278" w:rsidP="00936278">
      <w:pPr>
        <w:spacing w:line="240" w:lineRule="auto"/>
        <w:rPr>
          <w:rFonts w:ascii="Arial" w:hAnsi="Arial" w:cs="Arial"/>
          <w:sz w:val="24"/>
          <w:szCs w:val="24"/>
        </w:rPr>
      </w:pPr>
      <w:r>
        <w:rPr>
          <w:rFonts w:ascii="Arial" w:hAnsi="Arial" w:cs="Arial"/>
          <w:sz w:val="24"/>
          <w:szCs w:val="24"/>
        </w:rPr>
        <w:t xml:space="preserve">• Púrpura </w:t>
      </w:r>
      <w:proofErr w:type="spellStart"/>
      <w:r>
        <w:rPr>
          <w:rFonts w:ascii="Arial" w:hAnsi="Arial" w:cs="Arial"/>
          <w:sz w:val="24"/>
          <w:szCs w:val="24"/>
        </w:rPr>
        <w:t>trombocitopénica</w:t>
      </w:r>
      <w:proofErr w:type="spellEnd"/>
      <w:r>
        <w:rPr>
          <w:rFonts w:ascii="Arial" w:hAnsi="Arial" w:cs="Arial"/>
          <w:sz w:val="24"/>
          <w:szCs w:val="24"/>
        </w:rPr>
        <w:t xml:space="preserve"> inmunológica (PTI) en niños o adultos con riesgo elevado de hemorragia o antes de una intervención quirúrgica, para corregir el recuento de plaquetas</w:t>
      </w:r>
    </w:p>
    <w:p w:rsidR="00936278" w:rsidRDefault="00936278" w:rsidP="00936278">
      <w:pPr>
        <w:spacing w:line="240" w:lineRule="auto"/>
        <w:rPr>
          <w:rFonts w:ascii="Arial" w:hAnsi="Arial" w:cs="Arial"/>
          <w:sz w:val="24"/>
          <w:szCs w:val="24"/>
        </w:rPr>
      </w:pPr>
      <w:r>
        <w:rPr>
          <w:rFonts w:ascii="Arial" w:hAnsi="Arial" w:cs="Arial"/>
          <w:sz w:val="24"/>
          <w:szCs w:val="24"/>
        </w:rPr>
        <w:t xml:space="preserve">• Síndrome de </w:t>
      </w:r>
      <w:proofErr w:type="spellStart"/>
      <w:r>
        <w:rPr>
          <w:rFonts w:ascii="Arial" w:hAnsi="Arial" w:cs="Arial"/>
          <w:sz w:val="24"/>
          <w:szCs w:val="24"/>
        </w:rPr>
        <w:t>Guillain</w:t>
      </w:r>
      <w:proofErr w:type="spellEnd"/>
      <w:r>
        <w:rPr>
          <w:rFonts w:ascii="Arial" w:hAnsi="Arial" w:cs="Arial"/>
          <w:sz w:val="24"/>
          <w:szCs w:val="24"/>
        </w:rPr>
        <w:t>-Barré</w:t>
      </w:r>
    </w:p>
    <w:p w:rsidR="00936278" w:rsidRDefault="00936278" w:rsidP="00936278">
      <w:pPr>
        <w:spacing w:line="240" w:lineRule="auto"/>
        <w:rPr>
          <w:rFonts w:ascii="Arial" w:hAnsi="Arial" w:cs="Arial"/>
          <w:sz w:val="24"/>
          <w:szCs w:val="24"/>
        </w:rPr>
      </w:pPr>
      <w:r>
        <w:rPr>
          <w:rFonts w:ascii="Arial" w:hAnsi="Arial" w:cs="Arial"/>
          <w:sz w:val="24"/>
          <w:szCs w:val="24"/>
        </w:rPr>
        <w:lastRenderedPageBreak/>
        <w:t>• Enfermedad de Kawasaki</w:t>
      </w:r>
    </w:p>
    <w:p w:rsidR="00936278" w:rsidRDefault="00936278" w:rsidP="00936278">
      <w:pPr>
        <w:spacing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Polineuropatía</w:t>
      </w:r>
      <w:proofErr w:type="spellEnd"/>
      <w:r>
        <w:rPr>
          <w:rFonts w:ascii="Arial" w:hAnsi="Arial" w:cs="Arial"/>
          <w:sz w:val="24"/>
          <w:szCs w:val="24"/>
        </w:rPr>
        <w:t xml:space="preserve"> </w:t>
      </w:r>
      <w:proofErr w:type="spellStart"/>
      <w:r>
        <w:rPr>
          <w:rFonts w:ascii="Arial" w:hAnsi="Arial" w:cs="Arial"/>
          <w:sz w:val="24"/>
          <w:szCs w:val="24"/>
        </w:rPr>
        <w:t>desmielinizante</w:t>
      </w:r>
      <w:proofErr w:type="spellEnd"/>
      <w:r>
        <w:rPr>
          <w:rFonts w:ascii="Arial" w:hAnsi="Arial" w:cs="Arial"/>
          <w:sz w:val="24"/>
          <w:szCs w:val="24"/>
        </w:rPr>
        <w:t xml:space="preserve"> inflamatoria crónica (PDIC)</w:t>
      </w:r>
    </w:p>
    <w:p w:rsidR="00936278" w:rsidRDefault="00936278" w:rsidP="00936278">
      <w:pPr>
        <w:spacing w:line="240" w:lineRule="auto"/>
        <w:rPr>
          <w:rFonts w:ascii="Arial" w:hAnsi="Arial" w:cs="Arial"/>
          <w:sz w:val="24"/>
          <w:szCs w:val="24"/>
          <w:u w:val="single"/>
        </w:rPr>
      </w:pPr>
      <w:proofErr w:type="spellStart"/>
      <w:r>
        <w:rPr>
          <w:rFonts w:ascii="Arial" w:hAnsi="Arial" w:cs="Arial"/>
          <w:sz w:val="24"/>
          <w:szCs w:val="24"/>
          <w:u w:val="single"/>
        </w:rPr>
        <w:t>Alotrasplante</w:t>
      </w:r>
      <w:proofErr w:type="spellEnd"/>
      <w:r>
        <w:rPr>
          <w:rFonts w:ascii="Arial" w:hAnsi="Arial" w:cs="Arial"/>
          <w:sz w:val="24"/>
          <w:szCs w:val="24"/>
          <w:u w:val="single"/>
        </w:rPr>
        <w:t xml:space="preserve"> de médula ósea</w:t>
      </w:r>
    </w:p>
    <w:p w:rsidR="00936278" w:rsidRDefault="00936278" w:rsidP="00936278">
      <w:pPr>
        <w:spacing w:after="0"/>
        <w:jc w:val="both"/>
        <w:rPr>
          <w:rFonts w:ascii="Arial" w:hAnsi="Arial" w:cs="Arial"/>
          <w:b/>
          <w:sz w:val="24"/>
          <w:szCs w:val="24"/>
        </w:rPr>
      </w:pPr>
    </w:p>
    <w:p w:rsidR="00936278" w:rsidRDefault="00936278" w:rsidP="00936278">
      <w:pPr>
        <w:spacing w:after="0"/>
        <w:jc w:val="both"/>
        <w:rPr>
          <w:rFonts w:ascii="Arial" w:hAnsi="Arial" w:cs="Arial"/>
          <w:b/>
          <w:sz w:val="24"/>
          <w:szCs w:val="24"/>
        </w:rPr>
      </w:pPr>
      <w:r>
        <w:rPr>
          <w:rFonts w:ascii="Arial" w:hAnsi="Arial" w:cs="Arial"/>
          <w:b/>
          <w:sz w:val="24"/>
          <w:szCs w:val="24"/>
        </w:rPr>
        <w:t>Contraindicaciones:</w:t>
      </w:r>
    </w:p>
    <w:p w:rsidR="00936278" w:rsidRDefault="00936278" w:rsidP="00936278">
      <w:pPr>
        <w:jc w:val="both"/>
        <w:rPr>
          <w:rFonts w:ascii="Arial" w:hAnsi="Arial" w:cs="Arial"/>
          <w:sz w:val="24"/>
          <w:szCs w:val="24"/>
          <w:lang w:val="es-ES"/>
        </w:rPr>
      </w:pPr>
      <w:r>
        <w:rPr>
          <w:rFonts w:ascii="Arial" w:hAnsi="Arial" w:cs="Arial"/>
          <w:sz w:val="24"/>
          <w:szCs w:val="24"/>
          <w:lang w:val="es-ES"/>
        </w:rPr>
        <w:t>Hipersensibilidad al principio activo o al excipiente (véase la sección “Composición”).</w:t>
      </w:r>
    </w:p>
    <w:p w:rsidR="00936278" w:rsidRDefault="00936278" w:rsidP="00936278">
      <w:pPr>
        <w:jc w:val="both"/>
        <w:rPr>
          <w:rFonts w:ascii="Arial" w:hAnsi="Arial" w:cs="Arial"/>
          <w:sz w:val="24"/>
          <w:szCs w:val="24"/>
          <w:lang w:val="es-ES"/>
        </w:rPr>
      </w:pPr>
      <w:r>
        <w:rPr>
          <w:rFonts w:ascii="Arial" w:hAnsi="Arial" w:cs="Arial"/>
          <w:sz w:val="24"/>
          <w:szCs w:val="24"/>
          <w:lang w:val="es-ES"/>
        </w:rPr>
        <w:t xml:space="preserve">Hipersensibilidad a las inmunoglobulinas homólogas, particularmente, en casos muy raros de deficiencia de </w:t>
      </w:r>
      <w:proofErr w:type="spellStart"/>
      <w:r>
        <w:rPr>
          <w:rFonts w:ascii="Arial" w:hAnsi="Arial" w:cs="Arial"/>
          <w:sz w:val="24"/>
          <w:szCs w:val="24"/>
          <w:lang w:val="es-ES"/>
        </w:rPr>
        <w:t>IgA</w:t>
      </w:r>
      <w:proofErr w:type="spellEnd"/>
      <w:r>
        <w:rPr>
          <w:rFonts w:ascii="Arial" w:hAnsi="Arial" w:cs="Arial"/>
          <w:sz w:val="24"/>
          <w:szCs w:val="24"/>
          <w:lang w:val="es-ES"/>
        </w:rPr>
        <w:t xml:space="preserve">, donde el paciente presenta anticuerpos contra la </w:t>
      </w:r>
      <w:proofErr w:type="spellStart"/>
      <w:r>
        <w:rPr>
          <w:rFonts w:ascii="Arial" w:hAnsi="Arial" w:cs="Arial"/>
          <w:sz w:val="24"/>
          <w:szCs w:val="24"/>
          <w:lang w:val="es-ES"/>
        </w:rPr>
        <w:t>IgA</w:t>
      </w:r>
      <w:proofErr w:type="spellEnd"/>
      <w:r>
        <w:rPr>
          <w:rFonts w:ascii="Arial" w:hAnsi="Arial" w:cs="Arial"/>
          <w:sz w:val="24"/>
          <w:szCs w:val="24"/>
          <w:lang w:val="es-ES"/>
        </w:rPr>
        <w:t>.</w:t>
      </w:r>
    </w:p>
    <w:p w:rsidR="00936278" w:rsidRDefault="00936278" w:rsidP="00936278">
      <w:pPr>
        <w:jc w:val="both"/>
        <w:rPr>
          <w:rFonts w:ascii="Arial" w:hAnsi="Arial" w:cs="Arial"/>
          <w:sz w:val="24"/>
          <w:szCs w:val="24"/>
        </w:rPr>
      </w:pPr>
      <w:r>
        <w:rPr>
          <w:rFonts w:ascii="Arial" w:hAnsi="Arial" w:cs="Arial"/>
          <w:b/>
          <w:sz w:val="24"/>
          <w:szCs w:val="24"/>
        </w:rPr>
        <w:t>Uso en embarazo y lactancia:</w:t>
      </w:r>
      <w:r>
        <w:rPr>
          <w:rFonts w:ascii="Arial" w:hAnsi="Arial" w:cs="Arial"/>
          <w:sz w:val="24"/>
          <w:szCs w:val="24"/>
        </w:rPr>
        <w:t xml:space="preserve"> </w:t>
      </w:r>
    </w:p>
    <w:p w:rsidR="00936278" w:rsidRDefault="00936278" w:rsidP="00936278">
      <w:pPr>
        <w:jc w:val="both"/>
        <w:rPr>
          <w:rFonts w:ascii="Arial" w:hAnsi="Arial" w:cs="Arial"/>
          <w:b/>
          <w:bCs/>
          <w:sz w:val="24"/>
          <w:szCs w:val="24"/>
          <w:lang w:val="es-ES"/>
        </w:rPr>
      </w:pPr>
      <w:r>
        <w:rPr>
          <w:rFonts w:ascii="Arial" w:hAnsi="Arial" w:cs="Arial"/>
          <w:b/>
          <w:bCs/>
          <w:sz w:val="24"/>
          <w:szCs w:val="24"/>
          <w:lang w:val="es-ES"/>
        </w:rPr>
        <w:t>Embarazo</w:t>
      </w:r>
    </w:p>
    <w:p w:rsidR="00936278" w:rsidRDefault="00936278" w:rsidP="00936278">
      <w:pPr>
        <w:jc w:val="both"/>
        <w:rPr>
          <w:rFonts w:ascii="Arial" w:hAnsi="Arial" w:cs="Arial"/>
          <w:sz w:val="24"/>
          <w:szCs w:val="24"/>
          <w:lang w:val="es-ES"/>
        </w:rPr>
      </w:pPr>
      <w:r>
        <w:rPr>
          <w:rFonts w:ascii="Arial" w:hAnsi="Arial" w:cs="Arial"/>
          <w:sz w:val="24"/>
          <w:szCs w:val="24"/>
          <w:lang w:val="es-ES"/>
        </w:rPr>
        <w:t xml:space="preserve">No se dispone de datos clínicos controlados sobre la administración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a mujeres embarazadas, por lo cual en estos casos se debe actuar con precaución. Los productos de </w:t>
      </w:r>
      <w:proofErr w:type="spellStart"/>
      <w:r>
        <w:rPr>
          <w:rFonts w:ascii="Arial" w:hAnsi="Arial" w:cs="Arial"/>
          <w:sz w:val="24"/>
          <w:szCs w:val="24"/>
          <w:lang w:val="es-ES"/>
        </w:rPr>
        <w:t>IgIV</w:t>
      </w:r>
      <w:proofErr w:type="spellEnd"/>
      <w:r>
        <w:rPr>
          <w:rFonts w:ascii="Arial" w:hAnsi="Arial" w:cs="Arial"/>
          <w:sz w:val="24"/>
          <w:szCs w:val="24"/>
          <w:lang w:val="es-ES"/>
        </w:rPr>
        <w:t xml:space="preserve"> han mostrado que pueden atravesar la placenta, de forma creciente durante el tercer trimestre.</w:t>
      </w:r>
    </w:p>
    <w:p w:rsidR="00936278" w:rsidRDefault="00936278" w:rsidP="00936278">
      <w:pPr>
        <w:jc w:val="both"/>
        <w:rPr>
          <w:rFonts w:ascii="Arial" w:hAnsi="Arial" w:cs="Arial"/>
          <w:sz w:val="24"/>
          <w:szCs w:val="24"/>
          <w:lang w:val="es-ES"/>
        </w:rPr>
      </w:pPr>
      <w:r>
        <w:rPr>
          <w:rFonts w:ascii="Arial" w:hAnsi="Arial" w:cs="Arial"/>
          <w:sz w:val="24"/>
          <w:szCs w:val="24"/>
          <w:lang w:val="es-ES"/>
        </w:rPr>
        <w:t>Sin embargo, la prolongada experiencia clínica con inmunoglobulinas indica que no son de esperar efectos perjudiciales sobre el curso del embarazo, sobre el feto ni el recién nacido.</w:t>
      </w:r>
    </w:p>
    <w:p w:rsidR="00936278" w:rsidRDefault="00936278" w:rsidP="00936278">
      <w:pPr>
        <w:jc w:val="both"/>
        <w:rPr>
          <w:rFonts w:ascii="Arial" w:hAnsi="Arial" w:cs="Arial"/>
          <w:sz w:val="24"/>
          <w:szCs w:val="24"/>
          <w:lang w:val="es-ES"/>
        </w:rPr>
      </w:pPr>
      <w:r>
        <w:rPr>
          <w:rFonts w:ascii="Arial" w:hAnsi="Arial" w:cs="Arial"/>
          <w:sz w:val="24"/>
          <w:szCs w:val="24"/>
          <w:lang w:val="es-ES"/>
        </w:rPr>
        <w:t>No se encontraron signos de toxicidad directa o indirecta, con efectos sobre el embarazo, así como, sobre el desarrollo embrionario y fetal en estudios experimentales con el excipiente L-</w:t>
      </w:r>
      <w:proofErr w:type="spellStart"/>
      <w:r>
        <w:rPr>
          <w:rFonts w:ascii="Arial" w:hAnsi="Arial" w:cs="Arial"/>
          <w:sz w:val="24"/>
          <w:szCs w:val="24"/>
          <w:lang w:val="es-ES"/>
        </w:rPr>
        <w:t>prolina</w:t>
      </w:r>
      <w:proofErr w:type="spellEnd"/>
      <w:r>
        <w:rPr>
          <w:rFonts w:ascii="Arial" w:hAnsi="Arial" w:cs="Arial"/>
          <w:sz w:val="24"/>
          <w:szCs w:val="24"/>
          <w:lang w:val="es-ES"/>
        </w:rPr>
        <w:t xml:space="preserve"> realizados en animales.</w:t>
      </w:r>
    </w:p>
    <w:p w:rsidR="00936278" w:rsidRDefault="00936278" w:rsidP="00936278">
      <w:pPr>
        <w:jc w:val="both"/>
        <w:rPr>
          <w:rFonts w:ascii="Arial" w:hAnsi="Arial" w:cs="Arial"/>
          <w:b/>
          <w:bCs/>
          <w:sz w:val="24"/>
          <w:szCs w:val="24"/>
          <w:lang w:val="es-ES"/>
        </w:rPr>
      </w:pPr>
      <w:r>
        <w:rPr>
          <w:rFonts w:ascii="Arial" w:hAnsi="Arial" w:cs="Arial"/>
          <w:b/>
          <w:bCs/>
          <w:sz w:val="24"/>
          <w:szCs w:val="24"/>
          <w:lang w:val="es-ES"/>
        </w:rPr>
        <w:t>Lactancia</w:t>
      </w:r>
    </w:p>
    <w:p w:rsidR="00936278" w:rsidRDefault="00936278" w:rsidP="00936278">
      <w:pPr>
        <w:jc w:val="both"/>
        <w:rPr>
          <w:rFonts w:ascii="Arial" w:hAnsi="Arial" w:cs="Arial"/>
          <w:sz w:val="24"/>
          <w:szCs w:val="24"/>
        </w:rPr>
      </w:pPr>
      <w:r>
        <w:rPr>
          <w:rFonts w:ascii="Arial" w:hAnsi="Arial" w:cs="Arial"/>
          <w:sz w:val="24"/>
          <w:szCs w:val="24"/>
          <w:lang w:val="es-ES"/>
        </w:rPr>
        <w:t>Las inmunoglobulinas se excretan en la lecha y pueden contribuir a proteger al neonato de patógenos cuya vía de entrada son las mucosas.</w:t>
      </w:r>
    </w:p>
    <w:p w:rsidR="00936278" w:rsidRDefault="00936278" w:rsidP="00936278">
      <w:pPr>
        <w:jc w:val="both"/>
        <w:rPr>
          <w:rFonts w:ascii="Arial" w:hAnsi="Arial" w:cs="Arial"/>
          <w:sz w:val="24"/>
          <w:szCs w:val="24"/>
        </w:rPr>
      </w:pPr>
    </w:p>
    <w:p w:rsidR="00936278" w:rsidRDefault="00936278" w:rsidP="00936278">
      <w:pPr>
        <w:jc w:val="both"/>
        <w:rPr>
          <w:rFonts w:ascii="Arial" w:hAnsi="Arial" w:cs="Arial"/>
          <w:sz w:val="24"/>
          <w:szCs w:val="24"/>
        </w:rPr>
      </w:pPr>
      <w:r>
        <w:rPr>
          <w:rFonts w:ascii="Arial" w:hAnsi="Arial" w:cs="Arial"/>
          <w:b/>
          <w:sz w:val="24"/>
          <w:szCs w:val="24"/>
        </w:rPr>
        <w:t>Uso en pediatría:</w:t>
      </w:r>
      <w:r>
        <w:rPr>
          <w:rFonts w:ascii="Arial" w:hAnsi="Arial" w:cs="Arial"/>
          <w:sz w:val="24"/>
          <w:szCs w:val="24"/>
        </w:rPr>
        <w:t xml:space="preserve"> </w:t>
      </w:r>
    </w:p>
    <w:p w:rsidR="00936278" w:rsidRDefault="00936278" w:rsidP="00936278">
      <w:pPr>
        <w:jc w:val="both"/>
        <w:rPr>
          <w:rFonts w:ascii="Arial" w:hAnsi="Arial" w:cs="Arial"/>
          <w:sz w:val="24"/>
          <w:szCs w:val="24"/>
        </w:rPr>
      </w:pPr>
      <w:r>
        <w:rPr>
          <w:rFonts w:ascii="Arial" w:hAnsi="Arial" w:cs="Arial"/>
          <w:sz w:val="24"/>
          <w:szCs w:val="24"/>
          <w:lang w:val="es-ES"/>
        </w:rPr>
        <w:t xml:space="preserve">No se presentan diferencias en las propiedades </w:t>
      </w:r>
      <w:proofErr w:type="spellStart"/>
      <w:r>
        <w:rPr>
          <w:rFonts w:ascii="Arial" w:hAnsi="Arial" w:cs="Arial"/>
          <w:sz w:val="24"/>
          <w:szCs w:val="24"/>
          <w:lang w:val="es-ES"/>
        </w:rPr>
        <w:t>farmacodinámicas</w:t>
      </w:r>
      <w:proofErr w:type="spellEnd"/>
      <w:r>
        <w:rPr>
          <w:rFonts w:ascii="Arial" w:hAnsi="Arial" w:cs="Arial"/>
          <w:sz w:val="24"/>
          <w:szCs w:val="24"/>
          <w:lang w:val="es-ES"/>
        </w:rPr>
        <w:t xml:space="preserve"> entre los pacientes adultos y los pediátricos.</w:t>
      </w:r>
    </w:p>
    <w:p w:rsidR="00936278" w:rsidRDefault="00936278" w:rsidP="00936278">
      <w:pPr>
        <w:jc w:val="both"/>
        <w:rPr>
          <w:rFonts w:ascii="Arial" w:hAnsi="Arial" w:cs="Arial"/>
          <w:sz w:val="24"/>
          <w:szCs w:val="24"/>
        </w:rPr>
      </w:pPr>
      <w:r>
        <w:rPr>
          <w:rFonts w:ascii="Arial" w:hAnsi="Arial" w:cs="Arial"/>
          <w:b/>
          <w:sz w:val="24"/>
          <w:szCs w:val="24"/>
        </w:rPr>
        <w:t>Reacciones Adversas; Efectos Colaterales</w:t>
      </w:r>
      <w:r>
        <w:rPr>
          <w:rFonts w:ascii="Arial" w:hAnsi="Arial" w:cs="Arial"/>
          <w:sz w:val="24"/>
          <w:szCs w:val="24"/>
        </w:rPr>
        <w:t>:</w:t>
      </w:r>
    </w:p>
    <w:p w:rsidR="00936278" w:rsidRDefault="00936278" w:rsidP="00936278">
      <w:pPr>
        <w:jc w:val="both"/>
        <w:rPr>
          <w:rFonts w:ascii="Arial" w:hAnsi="Arial" w:cs="Arial"/>
          <w:sz w:val="24"/>
          <w:szCs w:val="24"/>
          <w:lang w:val="es-ES"/>
        </w:rPr>
      </w:pPr>
      <w:r>
        <w:rPr>
          <w:rFonts w:ascii="Arial" w:hAnsi="Arial" w:cs="Arial"/>
          <w:sz w:val="24"/>
          <w:szCs w:val="24"/>
          <w:lang w:val="es-ES"/>
        </w:rPr>
        <w:t xml:space="preserve">En la administración intravenosa de inmunoglobulina humana, incluso </w:t>
      </w:r>
      <w:proofErr w:type="spellStart"/>
      <w:r>
        <w:rPr>
          <w:rFonts w:ascii="Arial" w:hAnsi="Arial" w:cs="Arial"/>
          <w:sz w:val="24"/>
          <w:szCs w:val="24"/>
          <w:lang w:val="es-ES"/>
        </w:rPr>
        <w:t>Privigen</w:t>
      </w:r>
      <w:proofErr w:type="spellEnd"/>
      <w:r>
        <w:rPr>
          <w:rFonts w:ascii="Arial" w:hAnsi="Arial" w:cs="Arial"/>
          <w:sz w:val="24"/>
          <w:szCs w:val="24"/>
          <w:lang w:val="es-ES"/>
        </w:rPr>
        <w:t>, pueden producirse ocasionalmente reacciones adversas como escalofríos, cefalea, fiebre, vómitos, reacciones alérgicas, náuseas, artralgia, hipotensión arterial y lumbalgia moderada.</w:t>
      </w:r>
    </w:p>
    <w:p w:rsidR="00936278" w:rsidRDefault="00936278" w:rsidP="00936278">
      <w:pPr>
        <w:jc w:val="both"/>
        <w:rPr>
          <w:rFonts w:ascii="Arial" w:hAnsi="Arial" w:cs="Arial"/>
          <w:sz w:val="24"/>
          <w:szCs w:val="24"/>
          <w:lang w:val="es-ES"/>
        </w:rPr>
      </w:pPr>
      <w:r>
        <w:rPr>
          <w:rFonts w:ascii="Arial" w:hAnsi="Arial" w:cs="Arial"/>
          <w:sz w:val="24"/>
          <w:szCs w:val="24"/>
          <w:lang w:val="es-ES"/>
        </w:rPr>
        <w:t xml:space="preserve">Rara vez, la inmunoglobulina humana, incluso </w:t>
      </w:r>
      <w:proofErr w:type="spellStart"/>
      <w:r>
        <w:rPr>
          <w:rFonts w:ascii="Arial" w:hAnsi="Arial" w:cs="Arial"/>
          <w:sz w:val="24"/>
          <w:szCs w:val="24"/>
          <w:lang w:val="es-ES"/>
        </w:rPr>
        <w:t>Privigen</w:t>
      </w:r>
      <w:proofErr w:type="spellEnd"/>
      <w:r>
        <w:rPr>
          <w:rFonts w:ascii="Arial" w:hAnsi="Arial" w:cs="Arial"/>
          <w:sz w:val="24"/>
          <w:szCs w:val="24"/>
          <w:lang w:val="es-ES"/>
        </w:rPr>
        <w:t>, puede causar reacciones de hipersensibilidad con un descenso súbito de la presión arterial y, en casos aislados, shock anafiláctico, incluso cuando el paciente no ha mostrado hipersensibilidad a la administración previa.</w:t>
      </w:r>
    </w:p>
    <w:p w:rsidR="00936278" w:rsidRDefault="00936278" w:rsidP="00936278">
      <w:pPr>
        <w:jc w:val="both"/>
        <w:rPr>
          <w:rFonts w:ascii="Arial" w:hAnsi="Arial" w:cs="Arial"/>
          <w:sz w:val="24"/>
          <w:szCs w:val="24"/>
          <w:lang w:val="es-ES"/>
        </w:rPr>
      </w:pPr>
      <w:r>
        <w:rPr>
          <w:rFonts w:ascii="Arial" w:hAnsi="Arial" w:cs="Arial"/>
          <w:sz w:val="24"/>
          <w:szCs w:val="24"/>
          <w:lang w:val="es-ES"/>
        </w:rPr>
        <w:lastRenderedPageBreak/>
        <w:t xml:space="preserve">Con el uso de la inmunoglobulina humana, incluso </w:t>
      </w:r>
      <w:proofErr w:type="spellStart"/>
      <w:r>
        <w:rPr>
          <w:rFonts w:ascii="Arial" w:hAnsi="Arial" w:cs="Arial"/>
          <w:sz w:val="24"/>
          <w:szCs w:val="24"/>
          <w:lang w:val="es-ES"/>
        </w:rPr>
        <w:t>Privigen</w:t>
      </w:r>
      <w:proofErr w:type="spellEnd"/>
      <w:r>
        <w:rPr>
          <w:rFonts w:ascii="Arial" w:hAnsi="Arial" w:cs="Arial"/>
          <w:sz w:val="24"/>
          <w:szCs w:val="24"/>
          <w:lang w:val="es-ES"/>
        </w:rPr>
        <w:t>, se han observado casos de meningitis aséptica reversible y casos raros de reacciones cutáneas transitorias.</w:t>
      </w:r>
    </w:p>
    <w:p w:rsidR="00936278" w:rsidRDefault="00936278" w:rsidP="00936278">
      <w:pPr>
        <w:jc w:val="both"/>
        <w:rPr>
          <w:rFonts w:ascii="Arial" w:hAnsi="Arial" w:cs="Arial"/>
          <w:sz w:val="24"/>
          <w:szCs w:val="24"/>
          <w:lang w:val="es-ES"/>
        </w:rPr>
      </w:pPr>
      <w:r>
        <w:rPr>
          <w:rFonts w:ascii="Arial" w:hAnsi="Arial" w:cs="Arial"/>
          <w:sz w:val="24"/>
          <w:szCs w:val="24"/>
          <w:lang w:val="es-ES"/>
        </w:rPr>
        <w:t xml:space="preserve">Se han observado reacciones hemolíticas entre pacientes con los grupos sanguíneos A, B y AB (grupo sanguíneo distinto de 0). En raras ocasiones, se podría desarrollar anemia hemolítica que precise de una transfusión tras el tratamiento con altas dosis de </w:t>
      </w:r>
      <w:proofErr w:type="spellStart"/>
      <w:r>
        <w:rPr>
          <w:rFonts w:ascii="Arial" w:hAnsi="Arial" w:cs="Arial"/>
          <w:sz w:val="24"/>
          <w:szCs w:val="24"/>
          <w:lang w:val="es-ES"/>
        </w:rPr>
        <w:t>IgIV</w:t>
      </w:r>
      <w:proofErr w:type="spellEnd"/>
      <w:r>
        <w:rPr>
          <w:rFonts w:ascii="Arial" w:hAnsi="Arial" w:cs="Arial"/>
          <w:sz w:val="24"/>
          <w:szCs w:val="24"/>
          <w:lang w:val="es-ES"/>
        </w:rPr>
        <w:t xml:space="preserve">, incluso </w:t>
      </w:r>
      <w:proofErr w:type="spellStart"/>
      <w:r>
        <w:rPr>
          <w:rFonts w:ascii="Arial" w:hAnsi="Arial" w:cs="Arial"/>
          <w:sz w:val="24"/>
          <w:szCs w:val="24"/>
          <w:lang w:val="es-ES"/>
        </w:rPr>
        <w:t>Privigen</w:t>
      </w:r>
      <w:proofErr w:type="spellEnd"/>
      <w:r>
        <w:rPr>
          <w:rFonts w:ascii="Arial" w:hAnsi="Arial" w:cs="Arial"/>
          <w:sz w:val="24"/>
          <w:szCs w:val="24"/>
          <w:lang w:val="es-ES"/>
        </w:rPr>
        <w:t xml:space="preserve"> (ver también la sección «Advertencias y precauciones»).</w:t>
      </w:r>
    </w:p>
    <w:p w:rsidR="00936278" w:rsidRDefault="00936278" w:rsidP="00936278">
      <w:pPr>
        <w:jc w:val="both"/>
        <w:rPr>
          <w:rFonts w:ascii="Arial" w:hAnsi="Arial" w:cs="Arial"/>
          <w:sz w:val="24"/>
          <w:szCs w:val="24"/>
          <w:lang w:val="es-ES"/>
        </w:rPr>
      </w:pPr>
      <w:r>
        <w:rPr>
          <w:rFonts w:ascii="Arial" w:hAnsi="Arial" w:cs="Arial"/>
          <w:sz w:val="24"/>
          <w:szCs w:val="24"/>
          <w:lang w:val="es-ES"/>
        </w:rPr>
        <w:t>Se ha observado un aumento de la concentración sérica de creatinina y/o de la insuficiencia renal aguda.</w:t>
      </w:r>
    </w:p>
    <w:p w:rsidR="00936278" w:rsidRDefault="00936278" w:rsidP="00936278">
      <w:pPr>
        <w:jc w:val="both"/>
        <w:rPr>
          <w:rFonts w:ascii="Arial" w:hAnsi="Arial" w:cs="Arial"/>
          <w:sz w:val="24"/>
          <w:szCs w:val="24"/>
          <w:lang w:val="es-ES"/>
        </w:rPr>
      </w:pPr>
      <w:r>
        <w:rPr>
          <w:rFonts w:ascii="Arial" w:hAnsi="Arial" w:cs="Arial"/>
          <w:sz w:val="24"/>
          <w:szCs w:val="24"/>
          <w:lang w:val="es-ES"/>
        </w:rPr>
        <w:t xml:space="preserve">En muy raras ocasiones, se han presentado lesiones pulmonares agudas asociadas con la transfusión y reacciones </w:t>
      </w:r>
      <w:proofErr w:type="spellStart"/>
      <w:r>
        <w:rPr>
          <w:rFonts w:ascii="Arial" w:hAnsi="Arial" w:cs="Arial"/>
          <w:sz w:val="24"/>
          <w:szCs w:val="24"/>
          <w:lang w:val="es-ES"/>
        </w:rPr>
        <w:t>tromboembólicas</w:t>
      </w:r>
      <w:proofErr w:type="spellEnd"/>
      <w:r>
        <w:rPr>
          <w:rFonts w:ascii="Arial" w:hAnsi="Arial" w:cs="Arial"/>
          <w:sz w:val="24"/>
          <w:szCs w:val="24"/>
          <w:lang w:val="es-ES"/>
        </w:rPr>
        <w:t xml:space="preserve"> como infarto de miocardio, derrame cerebral, embolia pulmonar y trombosis venosa profunda.</w:t>
      </w:r>
    </w:p>
    <w:p w:rsidR="00936278" w:rsidRDefault="00936278" w:rsidP="00936278">
      <w:pPr>
        <w:jc w:val="both"/>
        <w:rPr>
          <w:rFonts w:ascii="Arial" w:hAnsi="Arial" w:cs="Arial"/>
          <w:b/>
          <w:sz w:val="24"/>
          <w:szCs w:val="24"/>
          <w:u w:val="single"/>
          <w:lang w:val="es-ES"/>
        </w:rPr>
      </w:pPr>
    </w:p>
    <w:p w:rsidR="00936278" w:rsidRDefault="00936278" w:rsidP="00936278">
      <w:pPr>
        <w:jc w:val="both"/>
        <w:rPr>
          <w:rFonts w:ascii="Arial" w:hAnsi="Arial" w:cs="Arial"/>
          <w:b/>
          <w:bCs/>
          <w:sz w:val="24"/>
          <w:szCs w:val="24"/>
          <w:u w:val="single"/>
          <w:lang w:val="es-ES"/>
        </w:rPr>
      </w:pPr>
      <w:r>
        <w:rPr>
          <w:rFonts w:ascii="Arial" w:hAnsi="Arial" w:cs="Arial"/>
          <w:b/>
          <w:bCs/>
          <w:sz w:val="24"/>
          <w:szCs w:val="24"/>
          <w:u w:val="single"/>
          <w:lang w:val="es-ES"/>
        </w:rPr>
        <w:t>Lista tabulada de reacciones adversas</w:t>
      </w:r>
    </w:p>
    <w:p w:rsidR="00936278" w:rsidRDefault="00936278" w:rsidP="00936278">
      <w:pPr>
        <w:jc w:val="both"/>
        <w:rPr>
          <w:rFonts w:ascii="Arial" w:hAnsi="Arial" w:cs="Arial"/>
          <w:sz w:val="24"/>
          <w:szCs w:val="24"/>
          <w:lang w:val="es-ES"/>
        </w:rPr>
      </w:pPr>
      <w:r>
        <w:rPr>
          <w:rFonts w:ascii="Arial" w:hAnsi="Arial" w:cs="Arial"/>
          <w:sz w:val="24"/>
          <w:szCs w:val="24"/>
          <w:lang w:val="es-ES"/>
        </w:rPr>
        <w:t xml:space="preserve">Se realizaron siete estudios clínicos con </w:t>
      </w:r>
      <w:proofErr w:type="spellStart"/>
      <w:r>
        <w:rPr>
          <w:rFonts w:ascii="Arial" w:hAnsi="Arial" w:cs="Arial"/>
          <w:sz w:val="24"/>
          <w:szCs w:val="24"/>
          <w:lang w:val="es-ES"/>
        </w:rPr>
        <w:t>Privigen</w:t>
      </w:r>
      <w:proofErr w:type="spellEnd"/>
      <w:r>
        <w:rPr>
          <w:rFonts w:ascii="Arial" w:hAnsi="Arial" w:cs="Arial"/>
          <w:sz w:val="24"/>
          <w:szCs w:val="24"/>
          <w:lang w:val="es-ES"/>
        </w:rPr>
        <w:t xml:space="preserve">: en pacientes con IDP, con PTI y con PDIC, respectivamente. En el estudio principal sobre la IDP, se incluyeron 80 pacientes, tratados con </w:t>
      </w:r>
      <w:proofErr w:type="spellStart"/>
      <w:r>
        <w:rPr>
          <w:rFonts w:ascii="Arial" w:hAnsi="Arial" w:cs="Arial"/>
          <w:sz w:val="24"/>
          <w:szCs w:val="24"/>
          <w:lang w:val="es-ES"/>
        </w:rPr>
        <w:t>Privigen</w:t>
      </w:r>
      <w:proofErr w:type="spellEnd"/>
      <w:r>
        <w:rPr>
          <w:rFonts w:ascii="Arial" w:hAnsi="Arial" w:cs="Arial"/>
          <w:sz w:val="24"/>
          <w:szCs w:val="24"/>
          <w:lang w:val="es-ES"/>
        </w:rPr>
        <w:t xml:space="preserve">. De ellos, 72 completaron los 12 meses de tratamiento. En el estudio de extensión sobre la IDP, se incluyeron 55 pacientes y fueron tratados con </w:t>
      </w:r>
      <w:proofErr w:type="spellStart"/>
      <w:r>
        <w:rPr>
          <w:rFonts w:ascii="Arial" w:hAnsi="Arial" w:cs="Arial"/>
          <w:sz w:val="24"/>
          <w:szCs w:val="24"/>
          <w:lang w:val="es-ES"/>
        </w:rPr>
        <w:t>Privigen</w:t>
      </w:r>
      <w:proofErr w:type="spellEnd"/>
      <w:r>
        <w:rPr>
          <w:rFonts w:ascii="Arial" w:hAnsi="Arial" w:cs="Arial"/>
          <w:sz w:val="24"/>
          <w:szCs w:val="24"/>
          <w:lang w:val="es-ES"/>
        </w:rPr>
        <w:t>. Otro estudio clínico incluyo a 11 pacientes con IDP en Japón. Dos estudios de PTI contaron con la participación de 57 pacientes cada uno, mientras que en los dos estudios sobre PDIC participaron 28 y 207 pacientes, respectivamente.</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Las principales Reacciones Adversas Medicamentosas (RAM) observadas en los siete estudios clínicos fueron de naturaleza leve a moderada.</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La siguiente tabla muestra un resumen de las reacciones adversas a los medicamentos descritas en los siete estudios, categorizadas según la clasificación de órganos y sistemas y la frecuencia definidos en el </w:t>
      </w:r>
      <w:proofErr w:type="spellStart"/>
      <w:r>
        <w:rPr>
          <w:rFonts w:ascii="Arial" w:hAnsi="Arial" w:cs="Arial"/>
          <w:sz w:val="24"/>
          <w:szCs w:val="24"/>
          <w:lang w:val="es-ES"/>
        </w:rPr>
        <w:t>MedDRA</w:t>
      </w:r>
      <w:proofErr w:type="spellEnd"/>
      <w:r>
        <w:rPr>
          <w:rFonts w:ascii="Arial" w:hAnsi="Arial" w:cs="Arial"/>
          <w:sz w:val="24"/>
          <w:szCs w:val="24"/>
          <w:lang w:val="es-ES"/>
        </w:rPr>
        <w:t>. La frecuencia de cada infusión se evaluó según las siguientes definiciones:</w:t>
      </w:r>
    </w:p>
    <w:p w:rsidR="00936278" w:rsidRDefault="00936278" w:rsidP="00936278">
      <w:pPr>
        <w:spacing w:line="240" w:lineRule="auto"/>
        <w:rPr>
          <w:rFonts w:ascii="Arial" w:hAnsi="Arial" w:cs="Arial"/>
          <w:sz w:val="24"/>
          <w:szCs w:val="24"/>
          <w:lang w:val="es-ES"/>
        </w:rPr>
      </w:pPr>
      <w:proofErr w:type="gramStart"/>
      <w:r>
        <w:rPr>
          <w:rFonts w:ascii="Arial" w:hAnsi="Arial" w:cs="Arial"/>
          <w:sz w:val="24"/>
          <w:szCs w:val="24"/>
          <w:lang w:val="es-ES"/>
        </w:rPr>
        <w:t>muy</w:t>
      </w:r>
      <w:proofErr w:type="gramEnd"/>
      <w:r>
        <w:rPr>
          <w:rFonts w:ascii="Arial" w:hAnsi="Arial" w:cs="Arial"/>
          <w:sz w:val="24"/>
          <w:szCs w:val="24"/>
          <w:lang w:val="es-ES"/>
        </w:rPr>
        <w:t xml:space="preserve"> común (≤ 1/10), común (≤ 1/100 a ≤ 1/10), poco común (≤ 1/1000 a ≤ 1/100). En el caso de las RAM espontáneas observadas tras la comercialización, la frecuencia se categoriza como desconocida.</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Dentro de cada grupo de frecuencia, se presentan los efectos no deseados en orden de frecuencia decreciente.</w:t>
      </w:r>
    </w:p>
    <w:p w:rsidR="00936278" w:rsidRDefault="00936278" w:rsidP="00936278">
      <w:pPr>
        <w:spacing w:line="240" w:lineRule="auto"/>
        <w:rPr>
          <w:rFonts w:ascii="Arial" w:hAnsi="Arial" w:cs="Arial"/>
          <w:sz w:val="24"/>
          <w:szCs w:val="24"/>
          <w:lang w:val="es-ES"/>
        </w:rPr>
      </w:pPr>
    </w:p>
    <w:tbl>
      <w:tblPr>
        <w:tblStyle w:val="Tablaconcuadrcula"/>
        <w:tblW w:w="5000" w:type="pct"/>
        <w:tblInd w:w="0" w:type="dxa"/>
        <w:tblLook w:val="04A0" w:firstRow="1" w:lastRow="0" w:firstColumn="1" w:lastColumn="0" w:noHBand="0" w:noVBand="1"/>
      </w:tblPr>
      <w:tblGrid>
        <w:gridCol w:w="2832"/>
        <w:gridCol w:w="2832"/>
        <w:gridCol w:w="2830"/>
      </w:tblGrid>
      <w:tr w:rsidR="00936278" w:rsidTr="00936278">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autoSpaceDE w:val="0"/>
              <w:autoSpaceDN w:val="0"/>
              <w:adjustRightInd w:val="0"/>
              <w:spacing w:line="240" w:lineRule="auto"/>
              <w:rPr>
                <w:rFonts w:ascii="Arial" w:hAnsi="Arial" w:cs="Arial"/>
                <w:b/>
                <w:bCs/>
                <w:sz w:val="24"/>
                <w:szCs w:val="24"/>
              </w:rPr>
            </w:pPr>
            <w:r>
              <w:rPr>
                <w:rFonts w:ascii="Arial" w:hAnsi="Arial" w:cs="Arial"/>
                <w:b/>
                <w:bCs/>
                <w:sz w:val="24"/>
                <w:szCs w:val="24"/>
              </w:rPr>
              <w:t xml:space="preserve">Sistema </w:t>
            </w:r>
            <w:proofErr w:type="spellStart"/>
            <w:r>
              <w:rPr>
                <w:rFonts w:ascii="Arial" w:hAnsi="Arial" w:cs="Arial"/>
                <w:b/>
                <w:bCs/>
                <w:sz w:val="24"/>
                <w:szCs w:val="24"/>
              </w:rPr>
              <w:t>MedDRA</w:t>
            </w:r>
            <w:proofErr w:type="spellEnd"/>
            <w:r>
              <w:rPr>
                <w:rFonts w:ascii="Arial" w:hAnsi="Arial" w:cs="Arial"/>
                <w:b/>
                <w:bCs/>
                <w:sz w:val="24"/>
                <w:szCs w:val="24"/>
              </w:rPr>
              <w:t xml:space="preserve"> de clasificación de órganos y sistemas</w:t>
            </w: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b/>
                <w:bCs/>
                <w:sz w:val="24"/>
                <w:szCs w:val="24"/>
              </w:rPr>
            </w:pPr>
            <w:r>
              <w:rPr>
                <w:rFonts w:ascii="Arial" w:hAnsi="Arial" w:cs="Arial"/>
                <w:b/>
                <w:bCs/>
                <w:sz w:val="24"/>
                <w:szCs w:val="24"/>
              </w:rPr>
              <w:t xml:space="preserve">Reacción adversa / Término del </w:t>
            </w:r>
            <w:proofErr w:type="spellStart"/>
            <w:r>
              <w:rPr>
                <w:rFonts w:ascii="Arial" w:hAnsi="Arial" w:cs="Arial"/>
                <w:b/>
                <w:bCs/>
                <w:sz w:val="24"/>
                <w:szCs w:val="24"/>
              </w:rPr>
              <w:t>MedDRA</w:t>
            </w:r>
            <w:proofErr w:type="spellEnd"/>
          </w:p>
        </w:tc>
        <w:tc>
          <w:tcPr>
            <w:tcW w:w="1666"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b/>
                <w:bCs/>
                <w:sz w:val="24"/>
                <w:szCs w:val="24"/>
              </w:rPr>
            </w:pPr>
            <w:r>
              <w:rPr>
                <w:rFonts w:ascii="Arial" w:hAnsi="Arial" w:cs="Arial"/>
                <w:b/>
                <w:bCs/>
                <w:sz w:val="24"/>
                <w:szCs w:val="24"/>
              </w:rPr>
              <w:t>Categoría de frecuencia RAM</w:t>
            </w:r>
          </w:p>
        </w:tc>
      </w:tr>
      <w:tr w:rsidR="00936278" w:rsidTr="00936278">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autoSpaceDE w:val="0"/>
              <w:autoSpaceDN w:val="0"/>
              <w:adjustRightInd w:val="0"/>
              <w:spacing w:line="240" w:lineRule="auto"/>
              <w:rPr>
                <w:rFonts w:ascii="Arial" w:hAnsi="Arial" w:cs="Arial"/>
                <w:sz w:val="24"/>
                <w:szCs w:val="24"/>
              </w:rPr>
            </w:pPr>
            <w:r>
              <w:rPr>
                <w:rFonts w:ascii="Arial" w:hAnsi="Arial" w:cs="Arial"/>
                <w:sz w:val="24"/>
                <w:szCs w:val="24"/>
              </w:rPr>
              <w:t>Infecciones e infestaciones</w:t>
            </w: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Meningitis aséptica</w:t>
            </w:r>
          </w:p>
        </w:tc>
        <w:tc>
          <w:tcPr>
            <w:tcW w:w="1666" w:type="pct"/>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r>
              <w:rPr>
                <w:rFonts w:ascii="Arial" w:hAnsi="Arial" w:cs="Arial"/>
                <w:sz w:val="24"/>
                <w:szCs w:val="24"/>
              </w:rPr>
              <w:t>Poco común</w:t>
            </w:r>
          </w:p>
          <w:p w:rsidR="00936278" w:rsidRDefault="00936278">
            <w:pPr>
              <w:spacing w:line="240" w:lineRule="auto"/>
              <w:rPr>
                <w:rFonts w:ascii="Arial" w:hAnsi="Arial" w:cs="Arial"/>
                <w:sz w:val="24"/>
                <w:szCs w:val="24"/>
              </w:rPr>
            </w:pPr>
          </w:p>
        </w:tc>
      </w:tr>
      <w:tr w:rsidR="00936278" w:rsidTr="00936278">
        <w:trPr>
          <w:trHeight w:val="458"/>
        </w:trPr>
        <w:tc>
          <w:tcPr>
            <w:tcW w:w="1667" w:type="pct"/>
            <w:vMerge w:val="restart"/>
            <w:tcBorders>
              <w:top w:val="single" w:sz="4" w:space="0" w:color="auto"/>
              <w:left w:val="single" w:sz="4" w:space="0" w:color="auto"/>
              <w:bottom w:val="single" w:sz="4" w:space="0" w:color="auto"/>
              <w:right w:val="single" w:sz="4" w:space="0" w:color="auto"/>
            </w:tcBorders>
            <w:hideMark/>
          </w:tcPr>
          <w:p w:rsidR="00936278" w:rsidRDefault="00936278">
            <w:pPr>
              <w:autoSpaceDE w:val="0"/>
              <w:autoSpaceDN w:val="0"/>
              <w:adjustRightInd w:val="0"/>
              <w:spacing w:line="240" w:lineRule="auto"/>
              <w:rPr>
                <w:rFonts w:ascii="Arial" w:hAnsi="Arial" w:cs="Arial"/>
                <w:sz w:val="24"/>
                <w:szCs w:val="24"/>
              </w:rPr>
            </w:pPr>
            <w:r>
              <w:rPr>
                <w:rFonts w:ascii="Arial" w:hAnsi="Arial" w:cs="Arial"/>
                <w:sz w:val="24"/>
                <w:szCs w:val="24"/>
              </w:rPr>
              <w:lastRenderedPageBreak/>
              <w:t>Trastornos de la sangre y del sistema linfático</w:t>
            </w: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Anemia, hemólisis (incluida la anemia hemolítica), leucopenia</w:t>
            </w:r>
          </w:p>
        </w:tc>
        <w:tc>
          <w:tcPr>
            <w:tcW w:w="1666" w:type="pct"/>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r>
              <w:rPr>
                <w:rFonts w:ascii="Arial" w:hAnsi="Arial" w:cs="Arial"/>
                <w:sz w:val="24"/>
                <w:szCs w:val="24"/>
              </w:rPr>
              <w:t>Común</w:t>
            </w:r>
          </w:p>
          <w:p w:rsidR="00936278" w:rsidRDefault="00936278">
            <w:pPr>
              <w:spacing w:line="240" w:lineRule="auto"/>
              <w:rPr>
                <w:rFonts w:ascii="Arial" w:hAnsi="Arial" w:cs="Arial"/>
                <w:sz w:val="24"/>
                <w:szCs w:val="24"/>
              </w:rPr>
            </w:pPr>
          </w:p>
        </w:tc>
      </w:tr>
      <w:tr w:rsidR="00936278" w:rsidTr="0093627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278" w:rsidRDefault="00936278">
            <w:pPr>
              <w:spacing w:line="240" w:lineRule="auto"/>
              <w:rPr>
                <w:rFonts w:ascii="Arial" w:hAnsi="Arial" w:cs="Arial"/>
                <w:sz w:val="24"/>
                <w:szCs w:val="24"/>
              </w:rPr>
            </w:pP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Anisocitosis (incluida </w:t>
            </w:r>
            <w:proofErr w:type="spellStart"/>
            <w:r>
              <w:rPr>
                <w:rFonts w:ascii="Arial" w:hAnsi="Arial" w:cs="Arial"/>
                <w:sz w:val="24"/>
                <w:szCs w:val="24"/>
              </w:rPr>
              <w:t>microcitosis</w:t>
            </w:r>
            <w:proofErr w:type="spellEnd"/>
            <w:r>
              <w:rPr>
                <w:rFonts w:ascii="Arial" w:hAnsi="Arial" w:cs="Arial"/>
                <w:sz w:val="24"/>
                <w:szCs w:val="24"/>
              </w:rPr>
              <w:t xml:space="preserve">), </w:t>
            </w:r>
            <w:proofErr w:type="spellStart"/>
            <w:r>
              <w:rPr>
                <w:rFonts w:ascii="Arial" w:hAnsi="Arial" w:cs="Arial"/>
                <w:sz w:val="24"/>
                <w:szCs w:val="24"/>
              </w:rPr>
              <w:t>trombocitosis</w:t>
            </w:r>
            <w:proofErr w:type="spellEnd"/>
          </w:p>
        </w:tc>
        <w:tc>
          <w:tcPr>
            <w:tcW w:w="1666" w:type="pct"/>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r>
              <w:rPr>
                <w:rFonts w:ascii="Arial" w:hAnsi="Arial" w:cs="Arial"/>
                <w:sz w:val="24"/>
                <w:szCs w:val="24"/>
              </w:rPr>
              <w:t>Poco común</w:t>
            </w:r>
          </w:p>
          <w:p w:rsidR="00936278" w:rsidRDefault="00936278">
            <w:pPr>
              <w:spacing w:line="240" w:lineRule="auto"/>
              <w:rPr>
                <w:rFonts w:ascii="Arial" w:hAnsi="Arial" w:cs="Arial"/>
                <w:sz w:val="24"/>
                <w:szCs w:val="24"/>
              </w:rPr>
            </w:pPr>
          </w:p>
        </w:tc>
      </w:tr>
      <w:tr w:rsidR="00936278" w:rsidTr="00936278">
        <w:trPr>
          <w:trHeight w:val="233"/>
        </w:trPr>
        <w:tc>
          <w:tcPr>
            <w:tcW w:w="1667" w:type="pct"/>
            <w:vMerge w:val="restart"/>
            <w:tcBorders>
              <w:top w:val="single" w:sz="4" w:space="0" w:color="auto"/>
              <w:left w:val="single" w:sz="4" w:space="0" w:color="auto"/>
              <w:bottom w:val="single" w:sz="4" w:space="0" w:color="auto"/>
              <w:right w:val="single" w:sz="4" w:space="0" w:color="auto"/>
            </w:tcBorders>
            <w:hideMark/>
          </w:tcPr>
          <w:p w:rsidR="00936278" w:rsidRDefault="00936278">
            <w:pPr>
              <w:autoSpaceDE w:val="0"/>
              <w:autoSpaceDN w:val="0"/>
              <w:adjustRightInd w:val="0"/>
              <w:spacing w:line="240" w:lineRule="auto"/>
              <w:rPr>
                <w:rFonts w:ascii="Arial" w:hAnsi="Arial" w:cs="Arial"/>
                <w:sz w:val="24"/>
                <w:szCs w:val="24"/>
              </w:rPr>
            </w:pPr>
            <w:r>
              <w:rPr>
                <w:rFonts w:ascii="Arial" w:hAnsi="Arial" w:cs="Arial"/>
                <w:sz w:val="24"/>
                <w:szCs w:val="24"/>
              </w:rPr>
              <w:t>Trastornos del sistema Inmunitario</w:t>
            </w: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Hipersensibilidad</w:t>
            </w:r>
          </w:p>
        </w:tc>
        <w:tc>
          <w:tcPr>
            <w:tcW w:w="1666" w:type="pct"/>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r>
              <w:rPr>
                <w:rFonts w:ascii="Arial" w:hAnsi="Arial" w:cs="Arial"/>
                <w:sz w:val="24"/>
                <w:szCs w:val="24"/>
              </w:rPr>
              <w:t>Común</w:t>
            </w:r>
          </w:p>
          <w:p w:rsidR="00936278" w:rsidRDefault="00936278">
            <w:pPr>
              <w:spacing w:line="240" w:lineRule="auto"/>
              <w:rPr>
                <w:rFonts w:ascii="Arial" w:hAnsi="Arial" w:cs="Arial"/>
                <w:sz w:val="24"/>
                <w:szCs w:val="24"/>
              </w:rPr>
            </w:pPr>
          </w:p>
        </w:tc>
      </w:tr>
      <w:tr w:rsidR="00936278" w:rsidTr="00936278">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278" w:rsidRDefault="00936278">
            <w:pPr>
              <w:spacing w:line="240" w:lineRule="auto"/>
              <w:rPr>
                <w:rFonts w:ascii="Arial" w:hAnsi="Arial" w:cs="Arial"/>
                <w:sz w:val="24"/>
                <w:szCs w:val="24"/>
              </w:rPr>
            </w:pP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Choque anafiláctico</w:t>
            </w:r>
          </w:p>
        </w:tc>
        <w:tc>
          <w:tcPr>
            <w:tcW w:w="1666" w:type="pct"/>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r>
              <w:rPr>
                <w:rFonts w:ascii="Arial" w:hAnsi="Arial" w:cs="Arial"/>
                <w:sz w:val="24"/>
                <w:szCs w:val="24"/>
              </w:rPr>
              <w:t>Desconocida</w:t>
            </w:r>
          </w:p>
          <w:p w:rsidR="00936278" w:rsidRDefault="00936278">
            <w:pPr>
              <w:spacing w:line="240" w:lineRule="auto"/>
              <w:rPr>
                <w:rFonts w:ascii="Arial" w:hAnsi="Arial" w:cs="Arial"/>
                <w:sz w:val="24"/>
                <w:szCs w:val="24"/>
              </w:rPr>
            </w:pPr>
          </w:p>
        </w:tc>
      </w:tr>
      <w:tr w:rsidR="00936278" w:rsidTr="00936278">
        <w:trPr>
          <w:trHeight w:val="385"/>
        </w:trPr>
        <w:tc>
          <w:tcPr>
            <w:tcW w:w="1667" w:type="pct"/>
            <w:vMerge w:val="restart"/>
            <w:tcBorders>
              <w:top w:val="single" w:sz="4" w:space="0" w:color="auto"/>
              <w:left w:val="single" w:sz="4" w:space="0" w:color="auto"/>
              <w:bottom w:val="single" w:sz="4" w:space="0" w:color="auto"/>
              <w:right w:val="single" w:sz="4" w:space="0" w:color="auto"/>
            </w:tcBorders>
            <w:hideMark/>
          </w:tcPr>
          <w:p w:rsidR="00936278" w:rsidRDefault="00936278">
            <w:pPr>
              <w:autoSpaceDE w:val="0"/>
              <w:autoSpaceDN w:val="0"/>
              <w:adjustRightInd w:val="0"/>
              <w:spacing w:line="240" w:lineRule="auto"/>
              <w:rPr>
                <w:rFonts w:ascii="Arial" w:hAnsi="Arial" w:cs="Arial"/>
                <w:sz w:val="24"/>
                <w:szCs w:val="24"/>
              </w:rPr>
            </w:pPr>
            <w:r>
              <w:rPr>
                <w:rFonts w:ascii="Arial" w:hAnsi="Arial" w:cs="Arial"/>
                <w:sz w:val="24"/>
                <w:szCs w:val="24"/>
              </w:rPr>
              <w:t>Trastornos del sistema nervioso</w:t>
            </w: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Cefalea (incluida la cefalea </w:t>
            </w:r>
            <w:proofErr w:type="spellStart"/>
            <w:r>
              <w:rPr>
                <w:rFonts w:ascii="Arial" w:hAnsi="Arial" w:cs="Arial"/>
                <w:sz w:val="24"/>
                <w:szCs w:val="24"/>
              </w:rPr>
              <w:t>sinusal</w:t>
            </w:r>
            <w:proofErr w:type="spellEnd"/>
            <w:r>
              <w:rPr>
                <w:rFonts w:ascii="Arial" w:hAnsi="Arial" w:cs="Arial"/>
                <w:sz w:val="24"/>
                <w:szCs w:val="24"/>
              </w:rPr>
              <w:t>, las migrañas y las molestias en la cabeza, cefalea tensional)</w:t>
            </w:r>
          </w:p>
        </w:tc>
        <w:tc>
          <w:tcPr>
            <w:tcW w:w="1666" w:type="pct"/>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r>
              <w:rPr>
                <w:rFonts w:ascii="Arial" w:hAnsi="Arial" w:cs="Arial"/>
                <w:sz w:val="24"/>
                <w:szCs w:val="24"/>
              </w:rPr>
              <w:t>Muy común</w:t>
            </w:r>
          </w:p>
          <w:p w:rsidR="00936278" w:rsidRDefault="00936278">
            <w:pPr>
              <w:spacing w:line="240" w:lineRule="auto"/>
              <w:rPr>
                <w:rFonts w:ascii="Arial" w:hAnsi="Arial" w:cs="Arial"/>
                <w:sz w:val="24"/>
                <w:szCs w:val="24"/>
              </w:rPr>
            </w:pPr>
          </w:p>
        </w:tc>
      </w:tr>
      <w:tr w:rsidR="00936278" w:rsidTr="00936278">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278" w:rsidRDefault="00936278">
            <w:pPr>
              <w:spacing w:line="240" w:lineRule="auto"/>
              <w:rPr>
                <w:rFonts w:ascii="Arial" w:hAnsi="Arial" w:cs="Arial"/>
                <w:sz w:val="24"/>
                <w:szCs w:val="24"/>
              </w:rPr>
            </w:pP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Mareo (incluido el vértigo)</w:t>
            </w:r>
          </w:p>
        </w:tc>
        <w:tc>
          <w:tcPr>
            <w:tcW w:w="1666" w:type="pct"/>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r>
              <w:rPr>
                <w:rFonts w:ascii="Arial" w:hAnsi="Arial" w:cs="Arial"/>
                <w:sz w:val="24"/>
                <w:szCs w:val="24"/>
              </w:rPr>
              <w:t>Común</w:t>
            </w:r>
          </w:p>
          <w:p w:rsidR="00936278" w:rsidRDefault="00936278">
            <w:pPr>
              <w:spacing w:line="240" w:lineRule="auto"/>
              <w:rPr>
                <w:rFonts w:ascii="Arial" w:hAnsi="Arial" w:cs="Arial"/>
                <w:sz w:val="24"/>
                <w:szCs w:val="24"/>
              </w:rPr>
            </w:pPr>
          </w:p>
        </w:tc>
      </w:tr>
      <w:tr w:rsidR="00936278" w:rsidTr="00936278">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278" w:rsidRDefault="00936278">
            <w:pPr>
              <w:spacing w:line="240" w:lineRule="auto"/>
              <w:rPr>
                <w:rFonts w:ascii="Arial" w:hAnsi="Arial" w:cs="Arial"/>
                <w:sz w:val="24"/>
                <w:szCs w:val="24"/>
              </w:rPr>
            </w:pP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Somnolencia, temblores</w:t>
            </w:r>
          </w:p>
        </w:tc>
        <w:tc>
          <w:tcPr>
            <w:tcW w:w="1666" w:type="pct"/>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r>
              <w:rPr>
                <w:rFonts w:ascii="Arial" w:hAnsi="Arial" w:cs="Arial"/>
                <w:sz w:val="24"/>
                <w:szCs w:val="24"/>
              </w:rPr>
              <w:t>Poco común</w:t>
            </w:r>
          </w:p>
          <w:p w:rsidR="00936278" w:rsidRDefault="00936278">
            <w:pPr>
              <w:spacing w:line="240" w:lineRule="auto"/>
              <w:rPr>
                <w:rFonts w:ascii="Arial" w:hAnsi="Arial" w:cs="Arial"/>
                <w:sz w:val="24"/>
                <w:szCs w:val="24"/>
              </w:rPr>
            </w:pPr>
          </w:p>
        </w:tc>
      </w:tr>
      <w:tr w:rsidR="00936278" w:rsidTr="00936278">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Trastornos cardíacos</w:t>
            </w: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Palpitaciones taquicardia </w:t>
            </w:r>
          </w:p>
        </w:tc>
        <w:tc>
          <w:tcPr>
            <w:tcW w:w="1666" w:type="pct"/>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r>
              <w:rPr>
                <w:rFonts w:ascii="Arial" w:hAnsi="Arial" w:cs="Arial"/>
                <w:sz w:val="24"/>
                <w:szCs w:val="24"/>
              </w:rPr>
              <w:t>Poco común</w:t>
            </w:r>
          </w:p>
          <w:p w:rsidR="00936278" w:rsidRDefault="00936278">
            <w:pPr>
              <w:spacing w:line="240" w:lineRule="auto"/>
              <w:rPr>
                <w:rFonts w:ascii="Arial" w:hAnsi="Arial" w:cs="Arial"/>
                <w:sz w:val="24"/>
                <w:szCs w:val="24"/>
              </w:rPr>
            </w:pPr>
          </w:p>
        </w:tc>
      </w:tr>
      <w:tr w:rsidR="00936278" w:rsidTr="00936278">
        <w:trPr>
          <w:trHeight w:val="615"/>
        </w:trPr>
        <w:tc>
          <w:tcPr>
            <w:tcW w:w="1667" w:type="pct"/>
            <w:vMerge w:val="restar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Trastornos vasculares</w:t>
            </w: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Hipertensión, rubefacción (incluido el sofoco, la hiperemia), hipotensión.</w:t>
            </w:r>
          </w:p>
        </w:tc>
        <w:tc>
          <w:tcPr>
            <w:tcW w:w="1666" w:type="pct"/>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r>
              <w:rPr>
                <w:rFonts w:ascii="Arial" w:hAnsi="Arial" w:cs="Arial"/>
                <w:sz w:val="24"/>
                <w:szCs w:val="24"/>
              </w:rPr>
              <w:t>Común</w:t>
            </w:r>
          </w:p>
          <w:p w:rsidR="00936278" w:rsidRDefault="00936278">
            <w:pPr>
              <w:spacing w:line="240" w:lineRule="auto"/>
              <w:rPr>
                <w:rFonts w:ascii="Arial" w:hAnsi="Arial" w:cs="Arial"/>
                <w:sz w:val="24"/>
                <w:szCs w:val="24"/>
              </w:rPr>
            </w:pPr>
          </w:p>
        </w:tc>
      </w:tr>
      <w:tr w:rsidR="00936278" w:rsidTr="00936278">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278" w:rsidRDefault="00936278">
            <w:pPr>
              <w:spacing w:line="240" w:lineRule="auto"/>
              <w:rPr>
                <w:rFonts w:ascii="Arial" w:hAnsi="Arial" w:cs="Arial"/>
                <w:sz w:val="24"/>
                <w:szCs w:val="24"/>
              </w:rPr>
            </w:pP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Eventos </w:t>
            </w:r>
            <w:proofErr w:type="spellStart"/>
            <w:r>
              <w:rPr>
                <w:rFonts w:ascii="Arial" w:hAnsi="Arial" w:cs="Arial"/>
                <w:sz w:val="24"/>
                <w:szCs w:val="24"/>
              </w:rPr>
              <w:t>tromboembólicos</w:t>
            </w:r>
            <w:proofErr w:type="spellEnd"/>
            <w:r>
              <w:rPr>
                <w:rFonts w:ascii="Arial" w:hAnsi="Arial" w:cs="Arial"/>
                <w:sz w:val="24"/>
                <w:szCs w:val="24"/>
              </w:rPr>
              <w:t>, vasculitis (incluido el trastorno vascular periférico)</w:t>
            </w:r>
          </w:p>
        </w:tc>
        <w:tc>
          <w:tcPr>
            <w:tcW w:w="1666" w:type="pct"/>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r>
              <w:rPr>
                <w:rFonts w:ascii="Arial" w:hAnsi="Arial" w:cs="Arial"/>
                <w:sz w:val="24"/>
                <w:szCs w:val="24"/>
              </w:rPr>
              <w:t>Poco común</w:t>
            </w:r>
          </w:p>
          <w:p w:rsidR="00936278" w:rsidRDefault="00936278">
            <w:pPr>
              <w:spacing w:line="240" w:lineRule="auto"/>
              <w:rPr>
                <w:rFonts w:ascii="Arial" w:hAnsi="Arial" w:cs="Arial"/>
                <w:sz w:val="24"/>
                <w:szCs w:val="24"/>
              </w:rPr>
            </w:pPr>
          </w:p>
        </w:tc>
      </w:tr>
      <w:tr w:rsidR="00936278" w:rsidTr="00936278">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278" w:rsidRDefault="00936278">
            <w:pPr>
              <w:spacing w:line="240" w:lineRule="auto"/>
              <w:rPr>
                <w:rFonts w:ascii="Arial" w:hAnsi="Arial" w:cs="Arial"/>
                <w:sz w:val="24"/>
                <w:szCs w:val="24"/>
              </w:rPr>
            </w:pP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Lesión pulmonar aguda asociada a la transfusión</w:t>
            </w:r>
          </w:p>
        </w:tc>
        <w:tc>
          <w:tcPr>
            <w:tcW w:w="1666" w:type="pct"/>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r>
              <w:rPr>
                <w:rFonts w:ascii="Arial" w:hAnsi="Arial" w:cs="Arial"/>
                <w:sz w:val="24"/>
                <w:szCs w:val="24"/>
              </w:rPr>
              <w:t>Desconocida</w:t>
            </w:r>
          </w:p>
          <w:p w:rsidR="00936278" w:rsidRDefault="00936278">
            <w:pPr>
              <w:spacing w:line="240" w:lineRule="auto"/>
              <w:rPr>
                <w:rFonts w:ascii="Arial" w:hAnsi="Arial" w:cs="Arial"/>
                <w:sz w:val="24"/>
                <w:szCs w:val="24"/>
                <w:highlight w:val="yellow"/>
              </w:rPr>
            </w:pPr>
          </w:p>
        </w:tc>
      </w:tr>
      <w:tr w:rsidR="00936278" w:rsidTr="00936278">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autoSpaceDE w:val="0"/>
              <w:autoSpaceDN w:val="0"/>
              <w:adjustRightInd w:val="0"/>
              <w:spacing w:line="240" w:lineRule="auto"/>
              <w:rPr>
                <w:rFonts w:ascii="Arial" w:hAnsi="Arial" w:cs="Arial"/>
                <w:sz w:val="24"/>
                <w:szCs w:val="24"/>
              </w:rPr>
            </w:pPr>
            <w:r>
              <w:rPr>
                <w:rFonts w:ascii="Arial" w:hAnsi="Arial" w:cs="Arial"/>
                <w:sz w:val="24"/>
                <w:szCs w:val="24"/>
              </w:rPr>
              <w:t xml:space="preserve">Trastornos respiratorios, torácicos y </w:t>
            </w:r>
            <w:proofErr w:type="spellStart"/>
            <w:r>
              <w:rPr>
                <w:rFonts w:ascii="Arial" w:hAnsi="Arial" w:cs="Arial"/>
                <w:sz w:val="24"/>
                <w:szCs w:val="24"/>
              </w:rPr>
              <w:t>mediastínicos</w:t>
            </w:r>
            <w:proofErr w:type="spellEnd"/>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Disnea (incluido el dolor torácico, molestia en el pecho y respiración dolorosa)</w:t>
            </w:r>
          </w:p>
        </w:tc>
        <w:tc>
          <w:tcPr>
            <w:tcW w:w="1666"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Común</w:t>
            </w:r>
          </w:p>
        </w:tc>
      </w:tr>
      <w:tr w:rsidR="00936278" w:rsidTr="00936278">
        <w:trPr>
          <w:trHeight w:val="475"/>
        </w:trPr>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autoSpaceDE w:val="0"/>
              <w:autoSpaceDN w:val="0"/>
              <w:adjustRightInd w:val="0"/>
              <w:spacing w:line="240" w:lineRule="auto"/>
              <w:rPr>
                <w:rFonts w:ascii="Arial" w:hAnsi="Arial" w:cs="Arial"/>
                <w:sz w:val="24"/>
                <w:szCs w:val="24"/>
              </w:rPr>
            </w:pPr>
            <w:r>
              <w:rPr>
                <w:rFonts w:ascii="Arial" w:hAnsi="Arial" w:cs="Arial"/>
                <w:sz w:val="24"/>
                <w:szCs w:val="24"/>
              </w:rPr>
              <w:t>Trastornos gastrointestinales</w:t>
            </w: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Náuseas, vómito, diarrea, dolor abdominal</w:t>
            </w:r>
          </w:p>
        </w:tc>
        <w:tc>
          <w:tcPr>
            <w:tcW w:w="1666"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Común</w:t>
            </w:r>
          </w:p>
          <w:p w:rsidR="00936278" w:rsidRDefault="00936278">
            <w:pPr>
              <w:spacing w:line="240" w:lineRule="auto"/>
              <w:rPr>
                <w:rFonts w:ascii="Arial" w:hAnsi="Arial" w:cs="Arial"/>
                <w:sz w:val="24"/>
                <w:szCs w:val="24"/>
              </w:rPr>
            </w:pPr>
            <w:r>
              <w:rPr>
                <w:rFonts w:ascii="Arial" w:hAnsi="Arial" w:cs="Arial"/>
                <w:sz w:val="24"/>
                <w:szCs w:val="24"/>
              </w:rPr>
              <w:t>Común</w:t>
            </w:r>
          </w:p>
        </w:tc>
      </w:tr>
    </w:tbl>
    <w:p w:rsidR="00936278" w:rsidRDefault="00936278" w:rsidP="00936278">
      <w:pPr>
        <w:rPr>
          <w:rFonts w:ascii="Arial" w:hAnsi="Arial" w:cs="Arial"/>
          <w:sz w:val="24"/>
          <w:szCs w:val="24"/>
        </w:rPr>
      </w:pPr>
      <w:r>
        <w:rPr>
          <w:rFonts w:ascii="Arial" w:hAnsi="Arial" w:cs="Arial"/>
          <w:b/>
          <w:sz w:val="24"/>
          <w:szCs w:val="24"/>
        </w:rPr>
        <w:t>Reacciones adversas:</w:t>
      </w:r>
      <w:r>
        <w:rPr>
          <w:rFonts w:ascii="Arial" w:hAnsi="Arial" w:cs="Arial"/>
          <w:sz w:val="24"/>
          <w:szCs w:val="24"/>
        </w:rPr>
        <w:t xml:space="preserve"> (cont.)</w:t>
      </w:r>
    </w:p>
    <w:tbl>
      <w:tblPr>
        <w:tblStyle w:val="Tablaconcuadrcula"/>
        <w:tblW w:w="5000" w:type="pct"/>
        <w:tblInd w:w="0" w:type="dxa"/>
        <w:tblLook w:val="04A0" w:firstRow="1" w:lastRow="0" w:firstColumn="1" w:lastColumn="0" w:noHBand="0" w:noVBand="1"/>
      </w:tblPr>
      <w:tblGrid>
        <w:gridCol w:w="2832"/>
        <w:gridCol w:w="2832"/>
        <w:gridCol w:w="2830"/>
      </w:tblGrid>
      <w:tr w:rsidR="00936278" w:rsidTr="00936278">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autoSpaceDE w:val="0"/>
              <w:autoSpaceDN w:val="0"/>
              <w:adjustRightInd w:val="0"/>
              <w:spacing w:line="240" w:lineRule="auto"/>
              <w:rPr>
                <w:rFonts w:ascii="Arial" w:hAnsi="Arial" w:cs="Arial"/>
                <w:sz w:val="24"/>
                <w:szCs w:val="24"/>
              </w:rPr>
            </w:pPr>
            <w:r>
              <w:rPr>
                <w:rFonts w:ascii="Arial" w:hAnsi="Arial" w:cs="Arial"/>
                <w:sz w:val="24"/>
                <w:szCs w:val="24"/>
              </w:rPr>
              <w:t xml:space="preserve">Trastornos </w:t>
            </w:r>
            <w:proofErr w:type="spellStart"/>
            <w:r>
              <w:rPr>
                <w:rFonts w:ascii="Arial" w:hAnsi="Arial" w:cs="Arial"/>
                <w:sz w:val="24"/>
                <w:szCs w:val="24"/>
              </w:rPr>
              <w:t>hepatobiliares</w:t>
            </w:r>
            <w:proofErr w:type="spellEnd"/>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proofErr w:type="spellStart"/>
            <w:r>
              <w:rPr>
                <w:rFonts w:ascii="Arial" w:hAnsi="Arial" w:cs="Arial"/>
                <w:sz w:val="24"/>
                <w:szCs w:val="24"/>
              </w:rPr>
              <w:t>Hiperbilirrubinemia</w:t>
            </w:r>
            <w:proofErr w:type="spellEnd"/>
          </w:p>
        </w:tc>
        <w:tc>
          <w:tcPr>
            <w:tcW w:w="1666"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highlight w:val="yellow"/>
              </w:rPr>
            </w:pPr>
            <w:r>
              <w:rPr>
                <w:rFonts w:ascii="Arial" w:hAnsi="Arial" w:cs="Arial"/>
                <w:sz w:val="24"/>
                <w:szCs w:val="24"/>
              </w:rPr>
              <w:t>Poco común</w:t>
            </w:r>
          </w:p>
        </w:tc>
      </w:tr>
      <w:tr w:rsidR="00936278" w:rsidTr="00936278">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autoSpaceDE w:val="0"/>
              <w:autoSpaceDN w:val="0"/>
              <w:adjustRightInd w:val="0"/>
              <w:spacing w:line="240" w:lineRule="auto"/>
              <w:rPr>
                <w:rFonts w:ascii="Arial" w:hAnsi="Arial" w:cs="Arial"/>
                <w:sz w:val="24"/>
                <w:szCs w:val="24"/>
              </w:rPr>
            </w:pPr>
            <w:r>
              <w:rPr>
                <w:rFonts w:ascii="Arial" w:hAnsi="Arial" w:cs="Arial"/>
                <w:sz w:val="24"/>
                <w:szCs w:val="24"/>
              </w:rPr>
              <w:t>Trastornos de la piel y del tejido subcutáneo</w:t>
            </w: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Trastornos de la piel (incluido exantema, prurito, urticaria, erupción </w:t>
            </w:r>
            <w:proofErr w:type="spellStart"/>
            <w:r>
              <w:rPr>
                <w:rFonts w:ascii="Arial" w:hAnsi="Arial" w:cs="Arial"/>
                <w:sz w:val="24"/>
                <w:szCs w:val="24"/>
              </w:rPr>
              <w:t>maculopapular</w:t>
            </w:r>
            <w:proofErr w:type="spellEnd"/>
            <w:r>
              <w:rPr>
                <w:rFonts w:ascii="Arial" w:hAnsi="Arial" w:cs="Arial"/>
                <w:sz w:val="24"/>
                <w:szCs w:val="24"/>
              </w:rPr>
              <w:t>, eritema, exfoliación cutánea)</w:t>
            </w:r>
          </w:p>
        </w:tc>
        <w:tc>
          <w:tcPr>
            <w:tcW w:w="1666" w:type="pct"/>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r>
              <w:rPr>
                <w:rFonts w:ascii="Arial" w:hAnsi="Arial" w:cs="Arial"/>
                <w:sz w:val="24"/>
                <w:szCs w:val="24"/>
              </w:rPr>
              <w:t>Común</w:t>
            </w:r>
          </w:p>
          <w:p w:rsidR="00936278" w:rsidRDefault="00936278">
            <w:pPr>
              <w:spacing w:line="240" w:lineRule="auto"/>
              <w:rPr>
                <w:rFonts w:ascii="Arial" w:hAnsi="Arial" w:cs="Arial"/>
                <w:sz w:val="24"/>
                <w:szCs w:val="24"/>
                <w:highlight w:val="yellow"/>
              </w:rPr>
            </w:pPr>
          </w:p>
        </w:tc>
      </w:tr>
      <w:tr w:rsidR="00936278" w:rsidTr="00936278">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autoSpaceDE w:val="0"/>
              <w:autoSpaceDN w:val="0"/>
              <w:adjustRightInd w:val="0"/>
              <w:spacing w:line="240" w:lineRule="auto"/>
              <w:rPr>
                <w:rFonts w:ascii="Arial" w:hAnsi="Arial" w:cs="Arial"/>
                <w:sz w:val="24"/>
                <w:szCs w:val="24"/>
              </w:rPr>
            </w:pPr>
            <w:r>
              <w:rPr>
                <w:rFonts w:ascii="Arial" w:hAnsi="Arial" w:cs="Arial"/>
                <w:sz w:val="24"/>
                <w:szCs w:val="24"/>
              </w:rPr>
              <w:lastRenderedPageBreak/>
              <w:t xml:space="preserve">Trastornos </w:t>
            </w:r>
            <w:proofErr w:type="spellStart"/>
            <w:r>
              <w:rPr>
                <w:rFonts w:ascii="Arial" w:hAnsi="Arial" w:cs="Arial"/>
                <w:sz w:val="24"/>
                <w:szCs w:val="24"/>
              </w:rPr>
              <w:t>musculoesqueléticos</w:t>
            </w:r>
            <w:proofErr w:type="spellEnd"/>
            <w:r>
              <w:rPr>
                <w:rFonts w:ascii="Arial" w:hAnsi="Arial" w:cs="Arial"/>
                <w:sz w:val="24"/>
                <w:szCs w:val="24"/>
              </w:rPr>
              <w:t xml:space="preserve"> y del tejido conjuntivo</w:t>
            </w: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Mialgia (incluidos espasmos musculares, rigidez </w:t>
            </w:r>
            <w:proofErr w:type="spellStart"/>
            <w:r>
              <w:rPr>
                <w:rFonts w:ascii="Arial" w:hAnsi="Arial" w:cs="Arial"/>
                <w:sz w:val="24"/>
                <w:szCs w:val="24"/>
              </w:rPr>
              <w:t>musculoesquelética</w:t>
            </w:r>
            <w:proofErr w:type="spellEnd"/>
            <w:r>
              <w:rPr>
                <w:rFonts w:ascii="Arial" w:hAnsi="Arial" w:cs="Arial"/>
                <w:sz w:val="24"/>
                <w:szCs w:val="24"/>
              </w:rPr>
              <w:t xml:space="preserve"> y dolor </w:t>
            </w:r>
            <w:proofErr w:type="spellStart"/>
            <w:r>
              <w:rPr>
                <w:rFonts w:ascii="Arial" w:hAnsi="Arial" w:cs="Arial"/>
                <w:sz w:val="24"/>
                <w:szCs w:val="24"/>
              </w:rPr>
              <w:t>musculoesquelético</w:t>
            </w:r>
            <w:proofErr w:type="spellEnd"/>
            <w:r>
              <w:rPr>
                <w:rFonts w:ascii="Arial" w:hAnsi="Arial" w:cs="Arial"/>
                <w:sz w:val="24"/>
                <w:szCs w:val="24"/>
              </w:rPr>
              <w:t>)</w:t>
            </w:r>
          </w:p>
        </w:tc>
        <w:tc>
          <w:tcPr>
            <w:tcW w:w="1666" w:type="pct"/>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p>
          <w:p w:rsidR="00936278" w:rsidRDefault="00936278">
            <w:pPr>
              <w:spacing w:line="240" w:lineRule="auto"/>
              <w:rPr>
                <w:rFonts w:ascii="Arial" w:hAnsi="Arial" w:cs="Arial"/>
                <w:sz w:val="24"/>
                <w:szCs w:val="24"/>
              </w:rPr>
            </w:pPr>
            <w:r>
              <w:rPr>
                <w:rFonts w:ascii="Arial" w:hAnsi="Arial" w:cs="Arial"/>
                <w:sz w:val="24"/>
                <w:szCs w:val="24"/>
              </w:rPr>
              <w:t>Común</w:t>
            </w:r>
          </w:p>
          <w:p w:rsidR="00936278" w:rsidRDefault="00936278">
            <w:pPr>
              <w:spacing w:line="240" w:lineRule="auto"/>
              <w:rPr>
                <w:rFonts w:ascii="Arial" w:hAnsi="Arial" w:cs="Arial"/>
                <w:sz w:val="24"/>
                <w:szCs w:val="24"/>
                <w:highlight w:val="yellow"/>
              </w:rPr>
            </w:pPr>
          </w:p>
        </w:tc>
      </w:tr>
      <w:tr w:rsidR="00936278" w:rsidTr="00936278">
        <w:trPr>
          <w:trHeight w:val="345"/>
        </w:trPr>
        <w:tc>
          <w:tcPr>
            <w:tcW w:w="1667" w:type="pct"/>
            <w:vMerge w:val="restart"/>
            <w:tcBorders>
              <w:top w:val="single" w:sz="4" w:space="0" w:color="auto"/>
              <w:left w:val="single" w:sz="4" w:space="0" w:color="auto"/>
              <w:bottom w:val="single" w:sz="4" w:space="0" w:color="auto"/>
              <w:right w:val="single" w:sz="4" w:space="0" w:color="auto"/>
            </w:tcBorders>
            <w:hideMark/>
          </w:tcPr>
          <w:p w:rsidR="00936278" w:rsidRDefault="00936278">
            <w:pPr>
              <w:autoSpaceDE w:val="0"/>
              <w:autoSpaceDN w:val="0"/>
              <w:adjustRightInd w:val="0"/>
              <w:spacing w:line="240" w:lineRule="auto"/>
              <w:rPr>
                <w:rFonts w:ascii="Arial" w:hAnsi="Arial" w:cs="Arial"/>
                <w:sz w:val="24"/>
                <w:szCs w:val="24"/>
              </w:rPr>
            </w:pPr>
            <w:r>
              <w:rPr>
                <w:rFonts w:ascii="Arial" w:hAnsi="Arial" w:cs="Arial"/>
                <w:sz w:val="24"/>
                <w:szCs w:val="24"/>
              </w:rPr>
              <w:t>Trastornos renales y urinarios</w:t>
            </w: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Proteinuria, el aumento de la creatinina sanguínea</w:t>
            </w:r>
          </w:p>
        </w:tc>
        <w:tc>
          <w:tcPr>
            <w:tcW w:w="1666" w:type="pct"/>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r>
              <w:rPr>
                <w:rFonts w:ascii="Arial" w:hAnsi="Arial" w:cs="Arial"/>
                <w:sz w:val="24"/>
                <w:szCs w:val="24"/>
              </w:rPr>
              <w:t>Poco común</w:t>
            </w:r>
          </w:p>
          <w:p w:rsidR="00936278" w:rsidRDefault="00936278">
            <w:pPr>
              <w:spacing w:line="240" w:lineRule="auto"/>
              <w:rPr>
                <w:rFonts w:ascii="Arial" w:hAnsi="Arial" w:cs="Arial"/>
                <w:sz w:val="24"/>
                <w:szCs w:val="24"/>
              </w:rPr>
            </w:pPr>
          </w:p>
        </w:tc>
      </w:tr>
      <w:tr w:rsidR="00936278" w:rsidTr="0093627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278" w:rsidRDefault="00936278">
            <w:pPr>
              <w:spacing w:line="240" w:lineRule="auto"/>
              <w:rPr>
                <w:rFonts w:ascii="Arial" w:hAnsi="Arial" w:cs="Arial"/>
                <w:sz w:val="24"/>
                <w:szCs w:val="24"/>
              </w:rPr>
            </w:pP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Insuficiencia renal aguda</w:t>
            </w:r>
          </w:p>
        </w:tc>
        <w:tc>
          <w:tcPr>
            <w:tcW w:w="1666"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Desconocido</w:t>
            </w:r>
          </w:p>
        </w:tc>
      </w:tr>
      <w:tr w:rsidR="00936278" w:rsidTr="00936278">
        <w:trPr>
          <w:trHeight w:val="845"/>
        </w:trPr>
        <w:tc>
          <w:tcPr>
            <w:tcW w:w="1667" w:type="pct"/>
            <w:vMerge w:val="restart"/>
            <w:tcBorders>
              <w:top w:val="single" w:sz="4" w:space="0" w:color="auto"/>
              <w:left w:val="single" w:sz="4" w:space="0" w:color="auto"/>
              <w:bottom w:val="single" w:sz="4" w:space="0" w:color="auto"/>
              <w:right w:val="single" w:sz="4" w:space="0" w:color="auto"/>
            </w:tcBorders>
            <w:hideMark/>
          </w:tcPr>
          <w:p w:rsidR="00936278" w:rsidRDefault="00936278">
            <w:pPr>
              <w:autoSpaceDE w:val="0"/>
              <w:autoSpaceDN w:val="0"/>
              <w:adjustRightInd w:val="0"/>
              <w:spacing w:line="240" w:lineRule="auto"/>
              <w:rPr>
                <w:rFonts w:ascii="Arial" w:hAnsi="Arial" w:cs="Arial"/>
                <w:sz w:val="24"/>
                <w:szCs w:val="24"/>
              </w:rPr>
            </w:pPr>
            <w:r>
              <w:rPr>
                <w:rFonts w:ascii="Arial" w:hAnsi="Arial" w:cs="Arial"/>
                <w:sz w:val="24"/>
                <w:szCs w:val="24"/>
              </w:rPr>
              <w:t>Trastornos generales y alteraciones en el lugar de administración</w:t>
            </w:r>
          </w:p>
        </w:tc>
        <w:tc>
          <w:tcPr>
            <w:tcW w:w="1667" w:type="pct"/>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r>
              <w:rPr>
                <w:rFonts w:ascii="Arial" w:hAnsi="Arial" w:cs="Arial"/>
                <w:sz w:val="24"/>
                <w:szCs w:val="24"/>
              </w:rPr>
              <w:t xml:space="preserve">Dolor (incluido dolor de espalda, dolor en las extremidades, artralgia, dolor de cuello y dolor de cara), pirexia (incluidos escalofríos), enfermedad de tipo gripal (incluida nasofaringitis, dolor </w:t>
            </w:r>
            <w:proofErr w:type="spellStart"/>
            <w:r>
              <w:rPr>
                <w:rFonts w:ascii="Arial" w:hAnsi="Arial" w:cs="Arial"/>
                <w:sz w:val="24"/>
                <w:szCs w:val="24"/>
              </w:rPr>
              <w:t>faringolaríngeo</w:t>
            </w:r>
            <w:proofErr w:type="spellEnd"/>
            <w:r>
              <w:rPr>
                <w:rFonts w:ascii="Arial" w:hAnsi="Arial" w:cs="Arial"/>
                <w:sz w:val="24"/>
                <w:szCs w:val="24"/>
              </w:rPr>
              <w:t xml:space="preserve">, ampollas </w:t>
            </w:r>
            <w:proofErr w:type="spellStart"/>
            <w:r>
              <w:rPr>
                <w:rFonts w:ascii="Arial" w:hAnsi="Arial" w:cs="Arial"/>
                <w:sz w:val="24"/>
                <w:szCs w:val="24"/>
              </w:rPr>
              <w:t>orofaríngeas</w:t>
            </w:r>
            <w:proofErr w:type="spellEnd"/>
            <w:r>
              <w:rPr>
                <w:rFonts w:ascii="Arial" w:hAnsi="Arial" w:cs="Arial"/>
                <w:sz w:val="24"/>
                <w:szCs w:val="24"/>
              </w:rPr>
              <w:t xml:space="preserve"> y rigidez de garganta)</w:t>
            </w:r>
          </w:p>
          <w:p w:rsidR="00936278" w:rsidRDefault="00936278">
            <w:pPr>
              <w:spacing w:line="240" w:lineRule="auto"/>
              <w:rPr>
                <w:rFonts w:ascii="Arial" w:hAnsi="Arial" w:cs="Arial"/>
                <w:sz w:val="24"/>
                <w:szCs w:val="24"/>
              </w:rPr>
            </w:pPr>
          </w:p>
        </w:tc>
        <w:tc>
          <w:tcPr>
            <w:tcW w:w="1666"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Muy común  </w:t>
            </w:r>
          </w:p>
        </w:tc>
      </w:tr>
      <w:tr w:rsidR="00936278" w:rsidTr="00936278">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278" w:rsidRDefault="00936278">
            <w:pPr>
              <w:spacing w:line="240" w:lineRule="auto"/>
              <w:rPr>
                <w:rFonts w:ascii="Arial" w:hAnsi="Arial" w:cs="Arial"/>
                <w:sz w:val="24"/>
                <w:szCs w:val="24"/>
              </w:rPr>
            </w:pPr>
          </w:p>
        </w:tc>
        <w:tc>
          <w:tcPr>
            <w:tcW w:w="1667" w:type="pct"/>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r>
              <w:rPr>
                <w:rFonts w:ascii="Arial" w:hAnsi="Arial" w:cs="Arial"/>
                <w:sz w:val="24"/>
                <w:szCs w:val="24"/>
              </w:rPr>
              <w:t>Fatiga, astenia (incluida debilidad muscular)</w:t>
            </w:r>
          </w:p>
          <w:p w:rsidR="00936278" w:rsidRDefault="00936278">
            <w:pPr>
              <w:spacing w:line="240" w:lineRule="auto"/>
              <w:rPr>
                <w:rFonts w:ascii="Arial" w:hAnsi="Arial" w:cs="Arial"/>
                <w:sz w:val="24"/>
                <w:szCs w:val="24"/>
              </w:rPr>
            </w:pPr>
          </w:p>
        </w:tc>
        <w:tc>
          <w:tcPr>
            <w:tcW w:w="1666"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Común</w:t>
            </w:r>
          </w:p>
        </w:tc>
      </w:tr>
      <w:tr w:rsidR="00936278" w:rsidTr="00936278">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278" w:rsidRDefault="00936278">
            <w:pPr>
              <w:spacing w:line="240" w:lineRule="auto"/>
              <w:rPr>
                <w:rFonts w:ascii="Arial" w:hAnsi="Arial" w:cs="Arial"/>
                <w:sz w:val="24"/>
                <w:szCs w:val="24"/>
              </w:rPr>
            </w:pP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Dolor en el lugar de la inyección (incluidas molestias en el lugar de la infusión)</w:t>
            </w:r>
          </w:p>
        </w:tc>
        <w:tc>
          <w:tcPr>
            <w:tcW w:w="1666"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Poco común</w:t>
            </w:r>
          </w:p>
        </w:tc>
      </w:tr>
      <w:tr w:rsidR="00936278" w:rsidTr="00936278">
        <w:tc>
          <w:tcPr>
            <w:tcW w:w="1667" w:type="pct"/>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r>
              <w:rPr>
                <w:rFonts w:ascii="Arial" w:hAnsi="Arial" w:cs="Arial"/>
                <w:sz w:val="24"/>
                <w:szCs w:val="24"/>
              </w:rPr>
              <w:t>Investigaciones</w:t>
            </w:r>
          </w:p>
          <w:p w:rsidR="00936278" w:rsidRDefault="00936278">
            <w:pPr>
              <w:spacing w:line="240" w:lineRule="auto"/>
              <w:rPr>
                <w:rFonts w:ascii="Arial" w:hAnsi="Arial" w:cs="Arial"/>
                <w:sz w:val="24"/>
                <w:szCs w:val="24"/>
              </w:rPr>
            </w:pPr>
          </w:p>
          <w:p w:rsidR="00936278" w:rsidRDefault="00936278">
            <w:pPr>
              <w:spacing w:line="240" w:lineRule="auto"/>
              <w:rPr>
                <w:rFonts w:ascii="Arial" w:hAnsi="Arial" w:cs="Arial"/>
                <w:sz w:val="24"/>
                <w:szCs w:val="24"/>
              </w:rPr>
            </w:pPr>
          </w:p>
          <w:p w:rsidR="00936278" w:rsidRDefault="00936278">
            <w:pPr>
              <w:spacing w:line="240" w:lineRule="auto"/>
              <w:rPr>
                <w:rFonts w:ascii="Arial" w:hAnsi="Arial" w:cs="Arial"/>
                <w:sz w:val="24"/>
                <w:szCs w:val="24"/>
              </w:rPr>
            </w:pPr>
          </w:p>
          <w:p w:rsidR="00936278" w:rsidRDefault="00936278">
            <w:pPr>
              <w:spacing w:line="240" w:lineRule="auto"/>
              <w:rPr>
                <w:rFonts w:ascii="Arial" w:hAnsi="Arial" w:cs="Arial"/>
                <w:sz w:val="24"/>
                <w:szCs w:val="24"/>
              </w:rPr>
            </w:pPr>
          </w:p>
          <w:p w:rsidR="00936278" w:rsidRDefault="00936278">
            <w:pPr>
              <w:spacing w:line="240" w:lineRule="auto"/>
              <w:rPr>
                <w:rFonts w:ascii="Arial" w:hAnsi="Arial" w:cs="Arial"/>
                <w:sz w:val="24"/>
                <w:szCs w:val="24"/>
              </w:rPr>
            </w:pPr>
          </w:p>
          <w:p w:rsidR="00936278" w:rsidRDefault="00936278">
            <w:pPr>
              <w:spacing w:line="240" w:lineRule="auto"/>
              <w:rPr>
                <w:rFonts w:ascii="Arial" w:hAnsi="Arial" w:cs="Arial"/>
                <w:sz w:val="24"/>
                <w:szCs w:val="24"/>
              </w:rPr>
            </w:pPr>
          </w:p>
          <w:p w:rsidR="00936278" w:rsidRDefault="00936278">
            <w:pPr>
              <w:spacing w:line="240" w:lineRule="auto"/>
              <w:rPr>
                <w:rFonts w:ascii="Arial" w:hAnsi="Arial" w:cs="Arial"/>
                <w:sz w:val="24"/>
                <w:szCs w:val="24"/>
              </w:rPr>
            </w:pPr>
          </w:p>
          <w:p w:rsidR="00936278" w:rsidRDefault="00936278">
            <w:pPr>
              <w:spacing w:line="240" w:lineRule="auto"/>
              <w:rPr>
                <w:rFonts w:ascii="Arial" w:hAnsi="Arial" w:cs="Arial"/>
                <w:sz w:val="24"/>
                <w:szCs w:val="24"/>
              </w:rPr>
            </w:pPr>
          </w:p>
          <w:p w:rsidR="00936278" w:rsidRDefault="00936278">
            <w:pPr>
              <w:spacing w:line="240" w:lineRule="auto"/>
              <w:jc w:val="right"/>
              <w:rPr>
                <w:rFonts w:ascii="Arial" w:hAnsi="Arial" w:cs="Arial"/>
                <w:sz w:val="24"/>
                <w:szCs w:val="24"/>
              </w:rPr>
            </w:pPr>
          </w:p>
        </w:tc>
        <w:tc>
          <w:tcPr>
            <w:tcW w:w="1667"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Disminución de la hemoglobina (incluida disminución del recuento de glóbulos rojos, disminución de hematocritos), Prueba de Coombs (directa) con resultado positivo, incremento de la </w:t>
            </w:r>
            <w:proofErr w:type="spellStart"/>
            <w:r>
              <w:rPr>
                <w:rFonts w:ascii="Arial" w:hAnsi="Arial" w:cs="Arial"/>
                <w:sz w:val="24"/>
                <w:szCs w:val="24"/>
              </w:rPr>
              <w:t>alanina</w:t>
            </w:r>
            <w:proofErr w:type="spellEnd"/>
          </w:p>
          <w:p w:rsidR="00936278" w:rsidRDefault="00936278">
            <w:pPr>
              <w:spacing w:line="240" w:lineRule="auto"/>
              <w:rPr>
                <w:rFonts w:ascii="Arial" w:hAnsi="Arial" w:cs="Arial"/>
                <w:sz w:val="24"/>
                <w:szCs w:val="24"/>
              </w:rPr>
            </w:pPr>
            <w:proofErr w:type="spellStart"/>
            <w:r>
              <w:rPr>
                <w:rFonts w:ascii="Arial" w:hAnsi="Arial" w:cs="Arial"/>
                <w:sz w:val="24"/>
                <w:szCs w:val="24"/>
              </w:rPr>
              <w:t>aminotransferasa</w:t>
            </w:r>
            <w:proofErr w:type="spellEnd"/>
            <w:r>
              <w:rPr>
                <w:rFonts w:ascii="Arial" w:hAnsi="Arial" w:cs="Arial"/>
                <w:sz w:val="24"/>
                <w:szCs w:val="24"/>
              </w:rPr>
              <w:t xml:space="preserve">, incremento de la </w:t>
            </w:r>
            <w:proofErr w:type="spellStart"/>
            <w:r>
              <w:rPr>
                <w:rFonts w:ascii="Arial" w:hAnsi="Arial" w:cs="Arial"/>
                <w:sz w:val="24"/>
                <w:szCs w:val="24"/>
              </w:rPr>
              <w:t>aspartato</w:t>
            </w:r>
            <w:proofErr w:type="spellEnd"/>
            <w:r>
              <w:rPr>
                <w:rFonts w:ascii="Arial" w:hAnsi="Arial" w:cs="Arial"/>
                <w:sz w:val="24"/>
                <w:szCs w:val="24"/>
              </w:rPr>
              <w:t xml:space="preserve"> </w:t>
            </w:r>
            <w:proofErr w:type="spellStart"/>
            <w:r>
              <w:rPr>
                <w:rFonts w:ascii="Arial" w:hAnsi="Arial" w:cs="Arial"/>
                <w:sz w:val="24"/>
                <w:szCs w:val="24"/>
              </w:rPr>
              <w:t>aminotransferasa</w:t>
            </w:r>
            <w:proofErr w:type="spellEnd"/>
            <w:r>
              <w:rPr>
                <w:rFonts w:ascii="Arial" w:hAnsi="Arial" w:cs="Arial"/>
                <w:sz w:val="24"/>
                <w:szCs w:val="24"/>
              </w:rPr>
              <w:t xml:space="preserve"> e incremento de la deshidrogenasa láctica sanguínea</w:t>
            </w:r>
          </w:p>
        </w:tc>
        <w:tc>
          <w:tcPr>
            <w:tcW w:w="1666" w:type="pct"/>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Común</w:t>
            </w:r>
          </w:p>
        </w:tc>
      </w:tr>
    </w:tbl>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 La frecuencia se calcula con base en los estudios completados anteriores a la implementación de la fase de reducción de la </w:t>
      </w:r>
      <w:proofErr w:type="spellStart"/>
      <w:r>
        <w:rPr>
          <w:rFonts w:ascii="Arial" w:hAnsi="Arial" w:cs="Arial"/>
          <w:sz w:val="24"/>
          <w:szCs w:val="24"/>
          <w:lang w:val="es-ES"/>
        </w:rPr>
        <w:t>isoaglutinina</w:t>
      </w:r>
      <w:proofErr w:type="spellEnd"/>
      <w:r>
        <w:rPr>
          <w:rFonts w:ascii="Arial" w:hAnsi="Arial" w:cs="Arial"/>
          <w:sz w:val="24"/>
          <w:szCs w:val="24"/>
          <w:lang w:val="es-ES"/>
        </w:rPr>
        <w:t xml:space="preserve"> de la cromatografía de </w:t>
      </w:r>
      <w:proofErr w:type="spellStart"/>
      <w:r>
        <w:rPr>
          <w:rFonts w:ascii="Arial" w:hAnsi="Arial" w:cs="Arial"/>
          <w:sz w:val="24"/>
          <w:szCs w:val="24"/>
          <w:lang w:val="es-ES"/>
        </w:rPr>
        <w:t>inmunoafinidad</w:t>
      </w:r>
      <w:proofErr w:type="spellEnd"/>
      <w:r>
        <w:rPr>
          <w:rFonts w:ascii="Arial" w:hAnsi="Arial" w:cs="Arial"/>
          <w:sz w:val="24"/>
          <w:szCs w:val="24"/>
          <w:lang w:val="es-ES"/>
        </w:rPr>
        <w:t xml:space="preserve"> (IAC, por sus siglas en inglés) en la producción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w:t>
      </w:r>
      <w:r>
        <w:rPr>
          <w:rFonts w:ascii="Arial" w:hAnsi="Arial" w:cs="Arial"/>
          <w:sz w:val="24"/>
          <w:szCs w:val="24"/>
          <w:lang w:val="es-ES"/>
        </w:rPr>
        <w:lastRenderedPageBreak/>
        <w:t xml:space="preserve">En un estudio de seguridad posterior a la autorización (PASS, por sus siglas en inglés) llamado “El uso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y la anemia hemolítica en adultos y niños y el perfil de seguridad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en niños con PDIC: un estudio observacional de cohortes realizado en hospitales en los EE.UU.”, que evaluaba los datos de 7,759 pacientes que recibieron </w:t>
      </w:r>
      <w:proofErr w:type="spellStart"/>
      <w:r>
        <w:rPr>
          <w:rFonts w:ascii="Arial" w:hAnsi="Arial" w:cs="Arial"/>
          <w:sz w:val="24"/>
          <w:szCs w:val="24"/>
          <w:lang w:val="es-ES"/>
        </w:rPr>
        <w:t>Privigen</w:t>
      </w:r>
      <w:proofErr w:type="spellEnd"/>
      <w:r>
        <w:rPr>
          <w:rFonts w:ascii="Arial" w:hAnsi="Arial" w:cs="Arial"/>
          <w:sz w:val="24"/>
          <w:szCs w:val="24"/>
          <w:lang w:val="es-ES"/>
        </w:rPr>
        <w:t xml:space="preserve"> identificando a 4 casos de anemia hemolítica tras la IAC frente a 9,439 pacientes que recibieron </w:t>
      </w:r>
      <w:proofErr w:type="spellStart"/>
      <w:r>
        <w:rPr>
          <w:rFonts w:ascii="Arial" w:hAnsi="Arial" w:cs="Arial"/>
          <w:sz w:val="24"/>
          <w:szCs w:val="24"/>
          <w:lang w:val="es-ES"/>
        </w:rPr>
        <w:t>Privigen</w:t>
      </w:r>
      <w:proofErr w:type="spellEnd"/>
      <w:r>
        <w:rPr>
          <w:rFonts w:ascii="Arial" w:hAnsi="Arial" w:cs="Arial"/>
          <w:sz w:val="24"/>
          <w:szCs w:val="24"/>
          <w:lang w:val="es-ES"/>
        </w:rPr>
        <w:t xml:space="preserve"> identificando a 47 casos de anemia hemolítica anteriores a la IAC (valor inicial), se demostró una reducción </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estadísticamente significativa del 89 % en el porcentaje total de posibles anemias hemolíticas, en función de una relación de tasa de incidencia del 0.11 ajustado según el contexto de paciente ambulatorio u hospitalizado, edad, sexo, dosis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e indicación de uso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(valor p unilateral &lt;0.01).</w:t>
      </w:r>
    </w:p>
    <w:p w:rsidR="00936278" w:rsidRDefault="00936278" w:rsidP="00936278">
      <w:pPr>
        <w:spacing w:line="240" w:lineRule="auto"/>
        <w:rPr>
          <w:rFonts w:ascii="Arial" w:hAnsi="Arial" w:cs="Arial"/>
          <w:sz w:val="24"/>
          <w:szCs w:val="24"/>
          <w:u w:val="single"/>
          <w:lang w:val="es-ES"/>
        </w:rPr>
      </w:pPr>
      <w:r>
        <w:rPr>
          <w:rFonts w:ascii="Arial" w:hAnsi="Arial" w:cs="Arial"/>
          <w:sz w:val="24"/>
          <w:szCs w:val="24"/>
          <w:u w:val="single"/>
          <w:lang w:val="es-ES"/>
        </w:rPr>
        <w:t>Población pediátrica</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En estudios clínicos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con pacientes pediátricos, la frecuencia, naturaleza y gravedad de las reacciones adversas no difirió entre los niños y los adultos. En informes de pos-comercialización, se observa que la proporción de los casos de hemólisis para todos los informes de casos en niños, es ligeramente superior que en los adultos. Ver la sección «Advertencias y precauciones» para más información sobre los factores de riesgo y las recomendaciones de monitoreo.</w:t>
      </w:r>
    </w:p>
    <w:p w:rsidR="00936278" w:rsidRDefault="00936278" w:rsidP="00936278">
      <w:pPr>
        <w:jc w:val="both"/>
        <w:rPr>
          <w:rFonts w:ascii="Arial" w:hAnsi="Arial" w:cs="Arial"/>
          <w:b/>
          <w:sz w:val="24"/>
          <w:szCs w:val="24"/>
          <w:u w:val="single"/>
        </w:rPr>
      </w:pPr>
      <w:r>
        <w:rPr>
          <w:rFonts w:ascii="Arial" w:hAnsi="Arial" w:cs="Arial"/>
          <w:b/>
          <w:sz w:val="24"/>
          <w:szCs w:val="24"/>
          <w:u w:val="single"/>
        </w:rPr>
        <w:t>Notificación de sospechas de reacciones adversas:</w:t>
      </w:r>
    </w:p>
    <w:p w:rsidR="00936278" w:rsidRDefault="00936278" w:rsidP="00936278">
      <w:pPr>
        <w:jc w:val="both"/>
        <w:rPr>
          <w:rFonts w:ascii="Arial" w:hAnsi="Arial" w:cs="Arial"/>
          <w:b/>
          <w:sz w:val="24"/>
          <w:szCs w:val="24"/>
        </w:rPr>
      </w:pPr>
      <w:r>
        <w:rPr>
          <w:rFonts w:ascii="Arial" w:hAnsi="Arial" w:cs="Arial"/>
          <w:sz w:val="24"/>
          <w:szCs w:val="24"/>
        </w:rP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w:t>
      </w:r>
      <w:proofErr w:type="spellStart"/>
      <w:r>
        <w:rPr>
          <w:rFonts w:ascii="Arial" w:hAnsi="Arial" w:cs="Arial"/>
          <w:sz w:val="24"/>
          <w:szCs w:val="24"/>
        </w:rPr>
        <w:t>Farmacovigilancia</w:t>
      </w:r>
      <w:proofErr w:type="spellEnd"/>
      <w:r>
        <w:rPr>
          <w:rFonts w:ascii="Arial" w:hAnsi="Arial" w:cs="Arial"/>
          <w:sz w:val="24"/>
          <w:szCs w:val="24"/>
        </w:rPr>
        <w:t xml:space="preserve">: </w:t>
      </w:r>
      <w:hyperlink r:id="rId5" w:history="1">
        <w:r>
          <w:rPr>
            <w:rStyle w:val="Hipervnculo"/>
            <w:rFonts w:ascii="Arial" w:hAnsi="Arial" w:cs="Arial"/>
            <w:sz w:val="24"/>
            <w:szCs w:val="24"/>
          </w:rPr>
          <w:t>farmacovigilancia@quimfa.com.py</w:t>
        </w:r>
      </w:hyperlink>
    </w:p>
    <w:p w:rsidR="00936278" w:rsidRDefault="00936278" w:rsidP="00936278">
      <w:p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Precauciones y Advertencias</w:t>
      </w:r>
      <w:r>
        <w:rPr>
          <w:rFonts w:ascii="Arial" w:eastAsia="Times New Roman" w:hAnsi="Arial" w:cs="Arial"/>
          <w:sz w:val="24"/>
          <w:szCs w:val="24"/>
          <w:lang w:val="es-ES" w:eastAsia="es-ES"/>
        </w:rPr>
        <w:t>:</w:t>
      </w:r>
    </w:p>
    <w:p w:rsidR="00936278" w:rsidRDefault="00936278" w:rsidP="00936278">
      <w:pPr>
        <w:spacing w:after="0" w:line="240" w:lineRule="auto"/>
        <w:jc w:val="both"/>
        <w:rPr>
          <w:rFonts w:ascii="Arial" w:eastAsia="Times New Roman" w:hAnsi="Arial" w:cs="Arial"/>
          <w:sz w:val="24"/>
          <w:szCs w:val="24"/>
          <w:lang w:val="es-ES" w:eastAsia="es-ES"/>
        </w:rPr>
      </w:pPr>
    </w:p>
    <w:p w:rsidR="00936278" w:rsidRDefault="00936278" w:rsidP="00936278">
      <w:pPr>
        <w:spacing w:line="240" w:lineRule="auto"/>
        <w:rPr>
          <w:rFonts w:ascii="Arial" w:hAnsi="Arial" w:cs="Arial"/>
          <w:sz w:val="24"/>
          <w:szCs w:val="24"/>
          <w:lang w:val="es-ES"/>
        </w:rPr>
      </w:pPr>
      <w:proofErr w:type="spellStart"/>
      <w:r>
        <w:rPr>
          <w:rFonts w:ascii="Arial" w:hAnsi="Arial" w:cs="Arial"/>
          <w:sz w:val="24"/>
          <w:szCs w:val="24"/>
          <w:lang w:val="es-ES"/>
        </w:rPr>
        <w:t>Privigen</w:t>
      </w:r>
      <w:proofErr w:type="spellEnd"/>
      <w:r>
        <w:rPr>
          <w:rFonts w:ascii="Arial" w:hAnsi="Arial" w:cs="Arial"/>
          <w:sz w:val="24"/>
          <w:szCs w:val="24"/>
          <w:lang w:val="es-ES"/>
        </w:rPr>
        <w:t xml:space="preserve"> contiene el excipiente L-</w:t>
      </w:r>
      <w:proofErr w:type="spellStart"/>
      <w:r>
        <w:rPr>
          <w:rFonts w:ascii="Arial" w:hAnsi="Arial" w:cs="Arial"/>
          <w:sz w:val="24"/>
          <w:szCs w:val="24"/>
          <w:lang w:val="es-ES"/>
        </w:rPr>
        <w:t>prolina</w:t>
      </w:r>
      <w:proofErr w:type="spellEnd"/>
      <w:r>
        <w:rPr>
          <w:rFonts w:ascii="Arial" w:hAnsi="Arial" w:cs="Arial"/>
          <w:sz w:val="24"/>
          <w:szCs w:val="24"/>
          <w:lang w:val="es-ES"/>
        </w:rPr>
        <w:t xml:space="preserve">. Los médicos deben considerar el riesgo/beneficio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en pacientes con </w:t>
      </w:r>
      <w:proofErr w:type="spellStart"/>
      <w:r>
        <w:rPr>
          <w:rFonts w:ascii="Arial" w:hAnsi="Arial" w:cs="Arial"/>
          <w:sz w:val="24"/>
          <w:szCs w:val="24"/>
          <w:lang w:val="es-ES"/>
        </w:rPr>
        <w:t>Hiperprolinemia</w:t>
      </w:r>
      <w:proofErr w:type="spellEnd"/>
      <w:r>
        <w:rPr>
          <w:rFonts w:ascii="Arial" w:hAnsi="Arial" w:cs="Arial"/>
          <w:sz w:val="24"/>
          <w:szCs w:val="24"/>
          <w:lang w:val="es-ES"/>
        </w:rPr>
        <w:t xml:space="preserve"> I y II de forma individual.  </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Determinados efectos secundarios graves pueden estar relacionados con la velocidad de infusión. La velocidad de infusión recomendada en la sección «Dosis/Administración: Método de administración» y debe seguirse estrictamente. Los pacientes deben ser observados y monitoreados cuidadosamente respecto de la aparición de síntomas de cualquier tipo durante el periodo de infusión y de ahí en adelante.</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Ciertas reacciones adversas podrán aparecer más frecuentemente:</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en caso de alta velocidad de infusión,</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 en pacientes con </w:t>
      </w:r>
      <w:proofErr w:type="spellStart"/>
      <w:r>
        <w:rPr>
          <w:rFonts w:ascii="Arial" w:hAnsi="Arial" w:cs="Arial"/>
          <w:sz w:val="24"/>
          <w:szCs w:val="24"/>
          <w:lang w:val="es-ES"/>
        </w:rPr>
        <w:t>hipogammaglobulinemia</w:t>
      </w:r>
      <w:proofErr w:type="spellEnd"/>
      <w:r>
        <w:rPr>
          <w:rFonts w:ascii="Arial" w:hAnsi="Arial" w:cs="Arial"/>
          <w:sz w:val="24"/>
          <w:szCs w:val="24"/>
          <w:lang w:val="es-ES"/>
        </w:rPr>
        <w:t xml:space="preserve"> o </w:t>
      </w:r>
      <w:proofErr w:type="spellStart"/>
      <w:r>
        <w:rPr>
          <w:rFonts w:ascii="Arial" w:hAnsi="Arial" w:cs="Arial"/>
          <w:sz w:val="24"/>
          <w:szCs w:val="24"/>
          <w:lang w:val="es-ES"/>
        </w:rPr>
        <w:t>agammaglobulinemia</w:t>
      </w:r>
      <w:proofErr w:type="spellEnd"/>
      <w:r>
        <w:rPr>
          <w:rFonts w:ascii="Arial" w:hAnsi="Arial" w:cs="Arial"/>
          <w:sz w:val="24"/>
          <w:szCs w:val="24"/>
          <w:lang w:val="es-ES"/>
        </w:rPr>
        <w:t xml:space="preserve">, con o sin deficiencia de </w:t>
      </w:r>
      <w:proofErr w:type="spellStart"/>
      <w:r>
        <w:rPr>
          <w:rFonts w:ascii="Arial" w:hAnsi="Arial" w:cs="Arial"/>
          <w:sz w:val="24"/>
          <w:szCs w:val="24"/>
          <w:lang w:val="es-ES"/>
        </w:rPr>
        <w:t>IgA</w:t>
      </w:r>
      <w:proofErr w:type="spellEnd"/>
      <w:r>
        <w:rPr>
          <w:rFonts w:ascii="Arial" w:hAnsi="Arial" w:cs="Arial"/>
          <w:sz w:val="24"/>
          <w:szCs w:val="24"/>
          <w:lang w:val="es-ES"/>
        </w:rPr>
        <w:t xml:space="preserve">, </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lastRenderedPageBreak/>
        <w:t>– en pacientes tratados por primera vez con inmunoglobulina humana normal, o, en casos raros, por cambio de otro producto de inmunoglobulina humana normal, o por reinicio del tratamiento después de un descanso prolongado.</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A menudo es posible evitar complicaciones potenciales si se garantiza que:</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los pacientes no tengan sensibilidad a la inmunoglobulina humana normal, mediante una infusión inicial lenta del producto (0.3 ml/kg pc/h);</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durante la infusión los pacientes sean monitoreados cuidadosamente respecto de la aparición de síntomas de cualquier tipo. Especialmente, en pacientes que reciban inmunoglobulina humana normal por primera vez, o sean transferidos de otro producto a base de inmunoglobulina, o al reinicio del tratamiento después de un reposo prolongado, se debe realizar un monitoreo durante la primera infusión y una hora después, a fin de detectar posibles efectos adversos. Todos los demás pacientes deben ser observados como mínimo durante 20 minutos después de la administración.</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Si se presenta una reacción adversa se debe reducir la velocidad de infusión o interrumpirla completamente. El tratamiento necesario depende de la naturaleza y gravedad de la reacción adversa.</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Sí aparecieran síntomas de shock, se deberá implementar el tratamiento médico estándar. Las dosis más altas pueden estar asociadas con un aumento en la tasa de eventos adversos. Por lo tanto, debe buscarse la más baja dosis efectiva para cada paciente y establecer cuidadosamente a rutina de monitoreo.</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En todos los pacientes, la administración de </w:t>
      </w:r>
      <w:proofErr w:type="spellStart"/>
      <w:r>
        <w:rPr>
          <w:rFonts w:ascii="Arial" w:hAnsi="Arial" w:cs="Arial"/>
          <w:sz w:val="24"/>
          <w:szCs w:val="24"/>
          <w:lang w:val="es-ES"/>
        </w:rPr>
        <w:t>IgIV</w:t>
      </w:r>
      <w:proofErr w:type="spellEnd"/>
      <w:r>
        <w:rPr>
          <w:rFonts w:ascii="Arial" w:hAnsi="Arial" w:cs="Arial"/>
          <w:sz w:val="24"/>
          <w:szCs w:val="24"/>
          <w:lang w:val="es-ES"/>
        </w:rPr>
        <w:t xml:space="preserve"> requiere una hidratación adecuada antes de iniciar la infusión.</w:t>
      </w:r>
    </w:p>
    <w:p w:rsidR="00936278" w:rsidRDefault="00936278" w:rsidP="00936278">
      <w:pPr>
        <w:spacing w:line="240" w:lineRule="auto"/>
        <w:rPr>
          <w:rFonts w:ascii="Arial" w:hAnsi="Arial" w:cs="Arial"/>
          <w:sz w:val="24"/>
          <w:szCs w:val="24"/>
          <w:u w:val="single"/>
          <w:lang w:val="es-ES"/>
        </w:rPr>
      </w:pPr>
      <w:r>
        <w:rPr>
          <w:rFonts w:ascii="Arial" w:hAnsi="Arial" w:cs="Arial"/>
          <w:sz w:val="24"/>
          <w:szCs w:val="24"/>
          <w:u w:val="single"/>
          <w:lang w:val="es-ES"/>
        </w:rPr>
        <w:t>Hipersensibilidad</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Son raras las reacciones de hipersensibilidad genuinas. Pueden presentarse en los pacientes con anticuerpos anti-</w:t>
      </w:r>
      <w:proofErr w:type="spellStart"/>
      <w:r>
        <w:rPr>
          <w:rFonts w:ascii="Arial" w:hAnsi="Arial" w:cs="Arial"/>
          <w:sz w:val="24"/>
          <w:szCs w:val="24"/>
          <w:lang w:val="es-ES"/>
        </w:rPr>
        <w:t>IgA</w:t>
      </w:r>
      <w:proofErr w:type="spellEnd"/>
      <w:r>
        <w:rPr>
          <w:rFonts w:ascii="Arial" w:hAnsi="Arial" w:cs="Arial"/>
          <w:sz w:val="24"/>
          <w:szCs w:val="24"/>
          <w:lang w:val="es-ES"/>
        </w:rPr>
        <w:t xml:space="preserve">. La </w:t>
      </w:r>
      <w:proofErr w:type="spellStart"/>
      <w:r>
        <w:rPr>
          <w:rFonts w:ascii="Arial" w:hAnsi="Arial" w:cs="Arial"/>
          <w:sz w:val="24"/>
          <w:szCs w:val="24"/>
          <w:lang w:val="es-ES"/>
        </w:rPr>
        <w:t>IgIV</w:t>
      </w:r>
      <w:proofErr w:type="spellEnd"/>
      <w:r>
        <w:rPr>
          <w:rFonts w:ascii="Arial" w:hAnsi="Arial" w:cs="Arial"/>
          <w:sz w:val="24"/>
          <w:szCs w:val="24"/>
          <w:lang w:val="es-ES"/>
        </w:rPr>
        <w:t xml:space="preserve"> no está indicada para pacientes con deficiencia selectiva de </w:t>
      </w:r>
      <w:proofErr w:type="spellStart"/>
      <w:r>
        <w:rPr>
          <w:rFonts w:ascii="Arial" w:hAnsi="Arial" w:cs="Arial"/>
          <w:sz w:val="24"/>
          <w:szCs w:val="24"/>
          <w:lang w:val="es-ES"/>
        </w:rPr>
        <w:t>IgA</w:t>
      </w:r>
      <w:proofErr w:type="spellEnd"/>
      <w:r>
        <w:rPr>
          <w:rFonts w:ascii="Arial" w:hAnsi="Arial" w:cs="Arial"/>
          <w:sz w:val="24"/>
          <w:szCs w:val="24"/>
          <w:lang w:val="es-ES"/>
        </w:rPr>
        <w:t>, donde esta es la única anomalía preocupante.</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Raras veces puede suceder que la inmunoglobulina humana normal cause un descenso de la presión sanguínea con una reacción anafiláctica, incluso en pacientes que habían anteriormente tolerado el tratamiento con inmunoglobulina humana normal.</w:t>
      </w:r>
    </w:p>
    <w:p w:rsidR="00936278" w:rsidRDefault="00936278" w:rsidP="00936278">
      <w:pPr>
        <w:spacing w:line="240" w:lineRule="auto"/>
        <w:rPr>
          <w:rFonts w:ascii="Arial" w:hAnsi="Arial" w:cs="Arial"/>
          <w:sz w:val="24"/>
          <w:szCs w:val="24"/>
          <w:u w:val="single"/>
          <w:lang w:val="es-ES"/>
        </w:rPr>
      </w:pPr>
      <w:r>
        <w:rPr>
          <w:rFonts w:ascii="Arial" w:hAnsi="Arial" w:cs="Arial"/>
          <w:sz w:val="24"/>
          <w:szCs w:val="24"/>
          <w:u w:val="single"/>
          <w:lang w:val="es-ES"/>
        </w:rPr>
        <w:t>Anemia hemolítica</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Los productos de </w:t>
      </w:r>
      <w:proofErr w:type="spellStart"/>
      <w:r>
        <w:rPr>
          <w:rFonts w:ascii="Arial" w:hAnsi="Arial" w:cs="Arial"/>
          <w:sz w:val="24"/>
          <w:szCs w:val="24"/>
          <w:lang w:val="es-ES"/>
        </w:rPr>
        <w:t>IgIV</w:t>
      </w:r>
      <w:proofErr w:type="spellEnd"/>
      <w:r>
        <w:rPr>
          <w:rFonts w:ascii="Arial" w:hAnsi="Arial" w:cs="Arial"/>
          <w:sz w:val="24"/>
          <w:szCs w:val="24"/>
          <w:lang w:val="es-ES"/>
        </w:rPr>
        <w:t xml:space="preserve"> pueden contener anticuerpos de grupos sanguíneos (por ej., anti-A y anti-B) que podrían actuar como hemolisinas e inducir un recubrimiento in vivo de los glóbulos rojos (GR) con inmunoglobulina, lo que provocaría una reacción de </w:t>
      </w:r>
      <w:proofErr w:type="spellStart"/>
      <w:r>
        <w:rPr>
          <w:rFonts w:ascii="Arial" w:hAnsi="Arial" w:cs="Arial"/>
          <w:sz w:val="24"/>
          <w:szCs w:val="24"/>
          <w:lang w:val="es-ES"/>
        </w:rPr>
        <w:t>antiglobulina</w:t>
      </w:r>
      <w:proofErr w:type="spellEnd"/>
      <w:r>
        <w:rPr>
          <w:rFonts w:ascii="Arial" w:hAnsi="Arial" w:cs="Arial"/>
          <w:sz w:val="24"/>
          <w:szCs w:val="24"/>
          <w:lang w:val="es-ES"/>
        </w:rPr>
        <w:t xml:space="preserve"> directa positiva (prueba de Coombs) y, en raras ocasiones, hemólisis. </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La anemia hemolítica puede desarrollarse después del tratamiento con </w:t>
      </w:r>
      <w:proofErr w:type="spellStart"/>
      <w:r>
        <w:rPr>
          <w:rFonts w:ascii="Arial" w:hAnsi="Arial" w:cs="Arial"/>
          <w:sz w:val="24"/>
          <w:szCs w:val="24"/>
          <w:lang w:val="es-ES"/>
        </w:rPr>
        <w:t>IgIV</w:t>
      </w:r>
      <w:proofErr w:type="spellEnd"/>
      <w:r>
        <w:rPr>
          <w:rFonts w:ascii="Arial" w:hAnsi="Arial" w:cs="Arial"/>
          <w:sz w:val="24"/>
          <w:szCs w:val="24"/>
          <w:lang w:val="es-ES"/>
        </w:rPr>
        <w:t xml:space="preserve">, debido a una mayor captación de GR. El proceso de fabricación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incluye un paso de cromatografía de </w:t>
      </w:r>
      <w:proofErr w:type="spellStart"/>
      <w:r>
        <w:rPr>
          <w:rFonts w:ascii="Arial" w:hAnsi="Arial" w:cs="Arial"/>
          <w:sz w:val="24"/>
          <w:szCs w:val="24"/>
          <w:lang w:val="es-ES"/>
        </w:rPr>
        <w:t>inmunoafinidad</w:t>
      </w:r>
      <w:proofErr w:type="spellEnd"/>
      <w:r>
        <w:rPr>
          <w:rFonts w:ascii="Arial" w:hAnsi="Arial" w:cs="Arial"/>
          <w:sz w:val="24"/>
          <w:szCs w:val="24"/>
          <w:lang w:val="es-ES"/>
        </w:rPr>
        <w:t xml:space="preserve"> (IAC, por sus siglas en inglés) que reduce específicamente anticuerpos sanguíneos de los grupos A y B (</w:t>
      </w:r>
      <w:proofErr w:type="spellStart"/>
      <w:r>
        <w:rPr>
          <w:rFonts w:ascii="Arial" w:hAnsi="Arial" w:cs="Arial"/>
          <w:sz w:val="24"/>
          <w:szCs w:val="24"/>
          <w:lang w:val="es-ES"/>
        </w:rPr>
        <w:t>isoaglutininas</w:t>
      </w:r>
      <w:proofErr w:type="spellEnd"/>
      <w:r>
        <w:rPr>
          <w:rFonts w:ascii="Arial" w:hAnsi="Arial" w:cs="Arial"/>
          <w:sz w:val="24"/>
          <w:szCs w:val="24"/>
          <w:lang w:val="es-ES"/>
        </w:rPr>
        <w:t xml:space="preserve"> A y B).</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lastRenderedPageBreak/>
        <w:t xml:space="preserve">Los datos clínicos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producido con IAC muestran reducciones estadísticamente significativas de la anemia hemolítica (véase la sección «Efectos no deseados»).</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Se han producido casos aislados de disfunción/insuficiencia renal relacionados con la hemólisis o de coagulación </w:t>
      </w:r>
      <w:proofErr w:type="spellStart"/>
      <w:r>
        <w:rPr>
          <w:rFonts w:ascii="Arial" w:hAnsi="Arial" w:cs="Arial"/>
          <w:sz w:val="24"/>
          <w:szCs w:val="24"/>
          <w:lang w:val="es-ES"/>
        </w:rPr>
        <w:t>intravascular</w:t>
      </w:r>
      <w:proofErr w:type="spellEnd"/>
      <w:r>
        <w:rPr>
          <w:rFonts w:ascii="Arial" w:hAnsi="Arial" w:cs="Arial"/>
          <w:sz w:val="24"/>
          <w:szCs w:val="24"/>
          <w:lang w:val="es-ES"/>
        </w:rPr>
        <w:t xml:space="preserve"> diseminada que en algunos casos han provocado la muerte.</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Los siguientes factores de riesgo están asociados al desarrollo de hemólisis: altas dosis, independientemente de si se trata de una sola administración o de si se divide en varios días; y grupo sanguíneo A, B o AB (grupo sanguíneo distinto de 0) y un estado inflamatorio subyacente.</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Como este evento fue reportado comúnmente en pacientes con grupo sanguíneo A, B o AB (grupo sanguíneo distinto de 0) que reciben dosis altas para indicaciones distintas a una </w:t>
      </w:r>
      <w:proofErr w:type="spellStart"/>
      <w:r>
        <w:rPr>
          <w:rFonts w:ascii="Arial" w:hAnsi="Arial" w:cs="Arial"/>
          <w:sz w:val="24"/>
          <w:szCs w:val="24"/>
          <w:lang w:val="es-ES"/>
        </w:rPr>
        <w:t>Inmudoficiencia</w:t>
      </w:r>
      <w:proofErr w:type="spellEnd"/>
      <w:r>
        <w:rPr>
          <w:rFonts w:ascii="Arial" w:hAnsi="Arial" w:cs="Arial"/>
          <w:sz w:val="24"/>
          <w:szCs w:val="24"/>
          <w:lang w:val="es-ES"/>
        </w:rPr>
        <w:t xml:space="preserve"> Primaria (IDP), se recomienda una mayor vigilancia.</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La hemólisis se ha descrito en raras ocasiones en pacientes que siguen una terapia de reemplazo para una inmunodeficiencia primaria.</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Se debe controlar a los destinatarios de </w:t>
      </w:r>
      <w:proofErr w:type="spellStart"/>
      <w:r>
        <w:rPr>
          <w:rFonts w:ascii="Arial" w:hAnsi="Arial" w:cs="Arial"/>
          <w:sz w:val="24"/>
          <w:szCs w:val="24"/>
          <w:lang w:val="es-ES"/>
        </w:rPr>
        <w:t>IgIV</w:t>
      </w:r>
      <w:proofErr w:type="spellEnd"/>
      <w:r>
        <w:rPr>
          <w:rFonts w:ascii="Arial" w:hAnsi="Arial" w:cs="Arial"/>
          <w:sz w:val="24"/>
          <w:szCs w:val="24"/>
          <w:lang w:val="es-ES"/>
        </w:rPr>
        <w:t xml:space="preserve"> para ver si presentan signos y síntomas clínicos de hemólisis. Si se desarrollan signos y/o síntomas de hemólisis durante una infusión de </w:t>
      </w:r>
      <w:proofErr w:type="spellStart"/>
      <w:r>
        <w:rPr>
          <w:rFonts w:ascii="Arial" w:hAnsi="Arial" w:cs="Arial"/>
          <w:sz w:val="24"/>
          <w:szCs w:val="24"/>
          <w:lang w:val="es-ES"/>
        </w:rPr>
        <w:t>IgIV</w:t>
      </w:r>
      <w:proofErr w:type="spellEnd"/>
      <w:r>
        <w:rPr>
          <w:rFonts w:ascii="Arial" w:hAnsi="Arial" w:cs="Arial"/>
          <w:sz w:val="24"/>
          <w:szCs w:val="24"/>
          <w:lang w:val="es-ES"/>
        </w:rPr>
        <w:t xml:space="preserve"> o después de ésta, el médico encargado del tratamiento puede considerar la posibilidad de suspender el tratamiento con </w:t>
      </w:r>
      <w:proofErr w:type="spellStart"/>
      <w:r>
        <w:rPr>
          <w:rFonts w:ascii="Arial" w:hAnsi="Arial" w:cs="Arial"/>
          <w:sz w:val="24"/>
          <w:szCs w:val="24"/>
          <w:lang w:val="es-ES"/>
        </w:rPr>
        <w:t>IgIV</w:t>
      </w:r>
      <w:proofErr w:type="spellEnd"/>
      <w:r>
        <w:rPr>
          <w:rFonts w:ascii="Arial" w:hAnsi="Arial" w:cs="Arial"/>
          <w:sz w:val="24"/>
          <w:szCs w:val="24"/>
          <w:lang w:val="es-ES"/>
        </w:rPr>
        <w:t xml:space="preserve"> (ver también la sección «Efectos no deseados»).</w:t>
      </w:r>
    </w:p>
    <w:p w:rsidR="00936278" w:rsidRDefault="00936278" w:rsidP="00936278">
      <w:pPr>
        <w:spacing w:line="240" w:lineRule="auto"/>
        <w:rPr>
          <w:rFonts w:ascii="Arial" w:hAnsi="Arial" w:cs="Arial"/>
          <w:sz w:val="24"/>
          <w:szCs w:val="24"/>
          <w:u w:val="single"/>
          <w:lang w:val="es-ES"/>
        </w:rPr>
      </w:pPr>
      <w:r>
        <w:rPr>
          <w:rFonts w:ascii="Arial" w:hAnsi="Arial" w:cs="Arial"/>
          <w:sz w:val="24"/>
          <w:szCs w:val="24"/>
          <w:u w:val="single"/>
          <w:lang w:val="es-ES"/>
        </w:rPr>
        <w:t>Síndrome de meningitis aséptica</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Se han descrito casos de aparición del síndrome de meningitis aséptica asociados al tratamiento con </w:t>
      </w:r>
      <w:proofErr w:type="spellStart"/>
      <w:r>
        <w:rPr>
          <w:rFonts w:ascii="Arial" w:hAnsi="Arial" w:cs="Arial"/>
          <w:sz w:val="24"/>
          <w:szCs w:val="24"/>
          <w:lang w:val="es-ES"/>
        </w:rPr>
        <w:t>IgIV</w:t>
      </w:r>
      <w:proofErr w:type="spellEnd"/>
      <w:r>
        <w:rPr>
          <w:rFonts w:ascii="Arial" w:hAnsi="Arial" w:cs="Arial"/>
          <w:sz w:val="24"/>
          <w:szCs w:val="24"/>
          <w:lang w:val="es-ES"/>
        </w:rPr>
        <w:t xml:space="preserve">. No obstante, la suspensión del tratamiento ha dado lugar a la remisión de dicho síndrome en el plazo de unos días sin dejar secuelas. El síndrome suele comenzar entre varias horas hasta 2 días después del tratamiento con </w:t>
      </w:r>
      <w:proofErr w:type="spellStart"/>
      <w:r>
        <w:rPr>
          <w:rFonts w:ascii="Arial" w:hAnsi="Arial" w:cs="Arial"/>
          <w:sz w:val="24"/>
          <w:szCs w:val="24"/>
          <w:lang w:val="es-ES"/>
        </w:rPr>
        <w:t>IgIV</w:t>
      </w:r>
      <w:proofErr w:type="spellEnd"/>
      <w:r>
        <w:rPr>
          <w:rFonts w:ascii="Arial" w:hAnsi="Arial" w:cs="Arial"/>
          <w:sz w:val="24"/>
          <w:szCs w:val="24"/>
          <w:lang w:val="es-ES"/>
        </w:rPr>
        <w:t xml:space="preserve">. Los estudios del líquido cefalorraquídeo dan con frecuencia resultados positivos de </w:t>
      </w:r>
      <w:proofErr w:type="spellStart"/>
      <w:r>
        <w:rPr>
          <w:rFonts w:ascii="Arial" w:hAnsi="Arial" w:cs="Arial"/>
          <w:sz w:val="24"/>
          <w:szCs w:val="24"/>
          <w:lang w:val="es-ES"/>
        </w:rPr>
        <w:t>pleocitosis</w:t>
      </w:r>
      <w:proofErr w:type="spellEnd"/>
      <w:r>
        <w:rPr>
          <w:rFonts w:ascii="Arial" w:hAnsi="Arial" w:cs="Arial"/>
          <w:sz w:val="24"/>
          <w:szCs w:val="24"/>
          <w:lang w:val="es-ES"/>
        </w:rPr>
        <w:t xml:space="preserve"> hasta varios miles de células por mm3, predominantemente de la serie </w:t>
      </w:r>
      <w:proofErr w:type="spellStart"/>
      <w:r>
        <w:rPr>
          <w:rFonts w:ascii="Arial" w:hAnsi="Arial" w:cs="Arial"/>
          <w:sz w:val="24"/>
          <w:szCs w:val="24"/>
          <w:lang w:val="es-ES"/>
        </w:rPr>
        <w:t>granulocítica</w:t>
      </w:r>
      <w:proofErr w:type="spellEnd"/>
      <w:r>
        <w:rPr>
          <w:rFonts w:ascii="Arial" w:hAnsi="Arial" w:cs="Arial"/>
          <w:sz w:val="24"/>
          <w:szCs w:val="24"/>
          <w:lang w:val="es-ES"/>
        </w:rPr>
        <w:t>, y niveles elevados de proteínas hasta varios cientos de mg/dl.</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El síndrome de meningitis aséptica se da con mayor frecuencia en asociación con un tratamiento</w:t>
      </w:r>
    </w:p>
    <w:p w:rsidR="00936278" w:rsidRDefault="00936278" w:rsidP="00936278">
      <w:pPr>
        <w:spacing w:line="240" w:lineRule="auto"/>
        <w:rPr>
          <w:rFonts w:ascii="Arial" w:hAnsi="Arial" w:cs="Arial"/>
          <w:sz w:val="24"/>
          <w:szCs w:val="24"/>
          <w:lang w:val="es-ES"/>
        </w:rPr>
      </w:pPr>
      <w:proofErr w:type="gramStart"/>
      <w:r>
        <w:rPr>
          <w:rFonts w:ascii="Arial" w:hAnsi="Arial" w:cs="Arial"/>
          <w:sz w:val="24"/>
          <w:szCs w:val="24"/>
          <w:lang w:val="es-ES"/>
        </w:rPr>
        <w:t>de</w:t>
      </w:r>
      <w:proofErr w:type="gramEnd"/>
      <w:r>
        <w:rPr>
          <w:rFonts w:ascii="Arial" w:hAnsi="Arial" w:cs="Arial"/>
          <w:sz w:val="24"/>
          <w:szCs w:val="24"/>
          <w:lang w:val="es-ES"/>
        </w:rPr>
        <w:t xml:space="preserve"> altas dosis de </w:t>
      </w:r>
      <w:proofErr w:type="spellStart"/>
      <w:r>
        <w:rPr>
          <w:rFonts w:ascii="Arial" w:hAnsi="Arial" w:cs="Arial"/>
          <w:sz w:val="24"/>
          <w:szCs w:val="24"/>
          <w:lang w:val="es-ES"/>
        </w:rPr>
        <w:t>IgIV</w:t>
      </w:r>
      <w:proofErr w:type="spellEnd"/>
      <w:r>
        <w:rPr>
          <w:rFonts w:ascii="Arial" w:hAnsi="Arial" w:cs="Arial"/>
          <w:sz w:val="24"/>
          <w:szCs w:val="24"/>
          <w:lang w:val="es-ES"/>
        </w:rPr>
        <w:t xml:space="preserve"> (2 g/kg).</w:t>
      </w:r>
    </w:p>
    <w:p w:rsidR="00936278" w:rsidRDefault="00936278" w:rsidP="00936278">
      <w:pPr>
        <w:spacing w:line="240" w:lineRule="auto"/>
        <w:rPr>
          <w:rFonts w:ascii="Arial" w:hAnsi="Arial" w:cs="Arial"/>
          <w:sz w:val="24"/>
          <w:szCs w:val="24"/>
          <w:u w:val="single"/>
          <w:lang w:val="es-ES"/>
        </w:rPr>
      </w:pPr>
      <w:proofErr w:type="spellStart"/>
      <w:r>
        <w:rPr>
          <w:rFonts w:ascii="Arial" w:hAnsi="Arial" w:cs="Arial"/>
          <w:sz w:val="24"/>
          <w:szCs w:val="24"/>
          <w:u w:val="single"/>
          <w:lang w:val="es-ES"/>
        </w:rPr>
        <w:t>Tromboembolismo</w:t>
      </w:r>
      <w:proofErr w:type="spellEnd"/>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Hay evidencia clínica de una relación entre la administración de </w:t>
      </w:r>
      <w:proofErr w:type="spellStart"/>
      <w:r>
        <w:rPr>
          <w:rFonts w:ascii="Arial" w:hAnsi="Arial" w:cs="Arial"/>
          <w:sz w:val="24"/>
          <w:szCs w:val="24"/>
          <w:lang w:val="es-ES"/>
        </w:rPr>
        <w:t>IgIV</w:t>
      </w:r>
      <w:proofErr w:type="spellEnd"/>
      <w:r>
        <w:rPr>
          <w:rFonts w:ascii="Arial" w:hAnsi="Arial" w:cs="Arial"/>
          <w:sz w:val="24"/>
          <w:szCs w:val="24"/>
          <w:lang w:val="es-ES"/>
        </w:rPr>
        <w:t xml:space="preserve"> y los eventos </w:t>
      </w:r>
      <w:proofErr w:type="spellStart"/>
      <w:r>
        <w:rPr>
          <w:rFonts w:ascii="Arial" w:hAnsi="Arial" w:cs="Arial"/>
          <w:sz w:val="24"/>
          <w:szCs w:val="24"/>
          <w:lang w:val="es-ES"/>
        </w:rPr>
        <w:t>tromboembólicos</w:t>
      </w:r>
      <w:proofErr w:type="spellEnd"/>
      <w:r>
        <w:rPr>
          <w:rFonts w:ascii="Arial" w:hAnsi="Arial" w:cs="Arial"/>
          <w:sz w:val="24"/>
          <w:szCs w:val="24"/>
          <w:lang w:val="es-ES"/>
        </w:rPr>
        <w:t xml:space="preserve">, tales como infarto de miocardio, accidente vascular cerebral (incluido el derrame), embolia pulmonar y trombosis venosa profunda. Estos se deben probablemente a un aumento relativo de la viscosidad sanguínea cuando se usan inmunoglobulinas en pacientes con riesgo. Por lo tanto, se recomienda actuar con especial precaución al recetar e infundir inmunoglobulina intravenosa a pacientes con sobrepeso y a pacientes con factores de riesgo preexistentes a episodios </w:t>
      </w:r>
      <w:proofErr w:type="spellStart"/>
      <w:r>
        <w:rPr>
          <w:rFonts w:ascii="Arial" w:hAnsi="Arial" w:cs="Arial"/>
          <w:sz w:val="24"/>
          <w:szCs w:val="24"/>
          <w:lang w:val="es-ES"/>
        </w:rPr>
        <w:t>tromboembólicos</w:t>
      </w:r>
      <w:proofErr w:type="spellEnd"/>
      <w:r>
        <w:rPr>
          <w:rFonts w:ascii="Arial" w:hAnsi="Arial" w:cs="Arial"/>
          <w:sz w:val="24"/>
          <w:szCs w:val="24"/>
          <w:lang w:val="es-ES"/>
        </w:rPr>
        <w:t xml:space="preserve"> (por ej., edad avanzada, hipertensión, diabetes mellitus, antecedentes de enfermedad vascular o episodios </w:t>
      </w:r>
      <w:proofErr w:type="spellStart"/>
      <w:r>
        <w:rPr>
          <w:rFonts w:ascii="Arial" w:hAnsi="Arial" w:cs="Arial"/>
          <w:sz w:val="24"/>
          <w:szCs w:val="24"/>
          <w:lang w:val="es-ES"/>
        </w:rPr>
        <w:t>trombóticos</w:t>
      </w:r>
      <w:proofErr w:type="spellEnd"/>
      <w:r>
        <w:rPr>
          <w:rFonts w:ascii="Arial" w:hAnsi="Arial" w:cs="Arial"/>
          <w:sz w:val="24"/>
          <w:szCs w:val="24"/>
          <w:lang w:val="es-ES"/>
        </w:rPr>
        <w:t xml:space="preserve">, enfermedades </w:t>
      </w:r>
      <w:proofErr w:type="spellStart"/>
      <w:r>
        <w:rPr>
          <w:rFonts w:ascii="Arial" w:hAnsi="Arial" w:cs="Arial"/>
          <w:sz w:val="24"/>
          <w:szCs w:val="24"/>
          <w:lang w:val="es-ES"/>
        </w:rPr>
        <w:t>trombofílicas</w:t>
      </w:r>
      <w:proofErr w:type="spellEnd"/>
      <w:r>
        <w:rPr>
          <w:rFonts w:ascii="Arial" w:hAnsi="Arial" w:cs="Arial"/>
          <w:sz w:val="24"/>
          <w:szCs w:val="24"/>
          <w:lang w:val="es-ES"/>
        </w:rPr>
        <w:t xml:space="preserve"> congénitas o </w:t>
      </w:r>
      <w:r>
        <w:rPr>
          <w:rFonts w:ascii="Arial" w:hAnsi="Arial" w:cs="Arial"/>
          <w:sz w:val="24"/>
          <w:szCs w:val="24"/>
          <w:lang w:val="es-ES"/>
        </w:rPr>
        <w:lastRenderedPageBreak/>
        <w:t>adquiridas, inmovilización durante periodos prolongados, hipovolemia grave, enfermedades que aumentan la viscosidad de la sangre).</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En pacientes con riesgo de reacciones </w:t>
      </w:r>
      <w:proofErr w:type="spellStart"/>
      <w:r>
        <w:rPr>
          <w:rFonts w:ascii="Arial" w:hAnsi="Arial" w:cs="Arial"/>
          <w:sz w:val="24"/>
          <w:szCs w:val="24"/>
          <w:lang w:val="es-ES"/>
        </w:rPr>
        <w:t>tromboembólicas</w:t>
      </w:r>
      <w:proofErr w:type="spellEnd"/>
      <w:r>
        <w:rPr>
          <w:rFonts w:ascii="Arial" w:hAnsi="Arial" w:cs="Arial"/>
          <w:sz w:val="24"/>
          <w:szCs w:val="24"/>
          <w:lang w:val="es-ES"/>
        </w:rPr>
        <w:t xml:space="preserve">, la velocidad de la infusión y la dosificación de los productos de </w:t>
      </w:r>
      <w:proofErr w:type="spellStart"/>
      <w:r>
        <w:rPr>
          <w:rFonts w:ascii="Arial" w:hAnsi="Arial" w:cs="Arial"/>
          <w:sz w:val="24"/>
          <w:szCs w:val="24"/>
          <w:lang w:val="es-ES"/>
        </w:rPr>
        <w:t>IgIV</w:t>
      </w:r>
      <w:proofErr w:type="spellEnd"/>
      <w:r>
        <w:rPr>
          <w:rFonts w:ascii="Arial" w:hAnsi="Arial" w:cs="Arial"/>
          <w:sz w:val="24"/>
          <w:szCs w:val="24"/>
          <w:lang w:val="es-ES"/>
        </w:rPr>
        <w:t xml:space="preserve"> deberán ser lo más bajas que sea posible.</w:t>
      </w:r>
    </w:p>
    <w:p w:rsidR="00936278" w:rsidRDefault="00936278" w:rsidP="00936278">
      <w:pPr>
        <w:spacing w:line="240" w:lineRule="auto"/>
        <w:rPr>
          <w:rFonts w:ascii="Arial" w:hAnsi="Arial" w:cs="Arial"/>
          <w:sz w:val="24"/>
          <w:szCs w:val="24"/>
          <w:u w:val="single"/>
          <w:lang w:val="es-ES"/>
        </w:rPr>
      </w:pPr>
      <w:r>
        <w:rPr>
          <w:rFonts w:ascii="Arial" w:hAnsi="Arial" w:cs="Arial"/>
          <w:sz w:val="24"/>
          <w:szCs w:val="24"/>
          <w:u w:val="single"/>
          <w:lang w:val="es-ES"/>
        </w:rPr>
        <w:t>Insuficiencia renal aguda</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En pacientes bajo terapia intravenosa con inmunoglobulina se han reportado casos de insuficiencia renal aguda. En la mayoría de los casos se identificaron factores de riesgo tales como una insuficiencia renal preexistente, diabetes mellitus, hipovolemia, sobrepeso, medicación concomitante </w:t>
      </w:r>
      <w:proofErr w:type="spellStart"/>
      <w:r>
        <w:rPr>
          <w:rFonts w:ascii="Arial" w:hAnsi="Arial" w:cs="Arial"/>
          <w:sz w:val="24"/>
          <w:szCs w:val="24"/>
          <w:lang w:val="es-ES"/>
        </w:rPr>
        <w:t>nefrotóxica</w:t>
      </w:r>
      <w:proofErr w:type="spellEnd"/>
      <w:r>
        <w:rPr>
          <w:rFonts w:ascii="Arial" w:hAnsi="Arial" w:cs="Arial"/>
          <w:sz w:val="24"/>
          <w:szCs w:val="24"/>
          <w:lang w:val="es-ES"/>
        </w:rPr>
        <w:t xml:space="preserve"> o edad superior a 65 años. </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En caso de trastorno de la función renal se debe considerar la suspensión de la </w:t>
      </w:r>
      <w:proofErr w:type="spellStart"/>
      <w:r>
        <w:rPr>
          <w:rFonts w:ascii="Arial" w:hAnsi="Arial" w:cs="Arial"/>
          <w:sz w:val="24"/>
          <w:szCs w:val="24"/>
          <w:lang w:val="es-ES"/>
        </w:rPr>
        <w:t>IgIV</w:t>
      </w:r>
      <w:proofErr w:type="spellEnd"/>
      <w:r>
        <w:rPr>
          <w:rFonts w:ascii="Arial" w:hAnsi="Arial" w:cs="Arial"/>
          <w:sz w:val="24"/>
          <w:szCs w:val="24"/>
          <w:lang w:val="es-ES"/>
        </w:rPr>
        <w:t xml:space="preserve">. Aunque los informes sobre trastornos de la función renal y la insuficiencia renal aguda se han relacionado con la administración de muchos productos de </w:t>
      </w:r>
      <w:proofErr w:type="spellStart"/>
      <w:r>
        <w:rPr>
          <w:rFonts w:ascii="Arial" w:hAnsi="Arial" w:cs="Arial"/>
          <w:sz w:val="24"/>
          <w:szCs w:val="24"/>
          <w:lang w:val="es-ES"/>
        </w:rPr>
        <w:t>IgIV</w:t>
      </w:r>
      <w:proofErr w:type="spellEnd"/>
      <w:r>
        <w:rPr>
          <w:rFonts w:ascii="Arial" w:hAnsi="Arial" w:cs="Arial"/>
          <w:sz w:val="24"/>
          <w:szCs w:val="24"/>
          <w:lang w:val="es-ES"/>
        </w:rPr>
        <w:t xml:space="preserve"> autorizados que contienen diversos excipientes como sacarosa, glucosa y maltosa, la proporción de productos que contienen sacarosa como estabilizante fue desproporcionadamente alta. Por lo tanto, en pacientes con riesgo se debe considerar el uso de preparados de </w:t>
      </w:r>
      <w:proofErr w:type="spellStart"/>
      <w:r>
        <w:rPr>
          <w:rFonts w:ascii="Arial" w:hAnsi="Arial" w:cs="Arial"/>
          <w:sz w:val="24"/>
          <w:szCs w:val="24"/>
          <w:lang w:val="es-ES"/>
        </w:rPr>
        <w:t>IgIV</w:t>
      </w:r>
      <w:proofErr w:type="spellEnd"/>
      <w:r>
        <w:rPr>
          <w:rFonts w:ascii="Arial" w:hAnsi="Arial" w:cs="Arial"/>
          <w:sz w:val="24"/>
          <w:szCs w:val="24"/>
          <w:lang w:val="es-ES"/>
        </w:rPr>
        <w:t xml:space="preserve"> exentos de sacarosa. </w:t>
      </w:r>
      <w:proofErr w:type="spellStart"/>
      <w:r>
        <w:rPr>
          <w:rFonts w:ascii="Arial" w:hAnsi="Arial" w:cs="Arial"/>
          <w:sz w:val="24"/>
          <w:szCs w:val="24"/>
          <w:lang w:val="es-ES"/>
        </w:rPr>
        <w:t>Privigen</w:t>
      </w:r>
      <w:proofErr w:type="spellEnd"/>
      <w:r>
        <w:rPr>
          <w:rFonts w:ascii="Arial" w:hAnsi="Arial" w:cs="Arial"/>
          <w:sz w:val="24"/>
          <w:szCs w:val="24"/>
          <w:lang w:val="es-ES"/>
        </w:rPr>
        <w:t xml:space="preserve"> no contiene sacarosa, maltosa ni glucosa.</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En pacientes con riesgo de insuficiencia renal aguda, la velocidad de infusión y la dosificación de los productos de </w:t>
      </w:r>
      <w:proofErr w:type="spellStart"/>
      <w:r>
        <w:rPr>
          <w:rFonts w:ascii="Arial" w:hAnsi="Arial" w:cs="Arial"/>
          <w:sz w:val="24"/>
          <w:szCs w:val="24"/>
          <w:lang w:val="es-ES"/>
        </w:rPr>
        <w:t>IgIV</w:t>
      </w:r>
      <w:proofErr w:type="spellEnd"/>
      <w:r>
        <w:rPr>
          <w:rFonts w:ascii="Arial" w:hAnsi="Arial" w:cs="Arial"/>
          <w:sz w:val="24"/>
          <w:szCs w:val="24"/>
          <w:lang w:val="es-ES"/>
        </w:rPr>
        <w:t xml:space="preserve"> deberán ser las más bajas posibles.</w:t>
      </w:r>
    </w:p>
    <w:p w:rsidR="00936278" w:rsidRDefault="00936278" w:rsidP="00936278">
      <w:pPr>
        <w:spacing w:line="240" w:lineRule="auto"/>
        <w:rPr>
          <w:rFonts w:ascii="Arial" w:hAnsi="Arial" w:cs="Arial"/>
          <w:sz w:val="24"/>
          <w:szCs w:val="24"/>
          <w:u w:val="single"/>
          <w:lang w:val="es-ES"/>
        </w:rPr>
      </w:pPr>
      <w:r>
        <w:rPr>
          <w:rFonts w:ascii="Arial" w:hAnsi="Arial" w:cs="Arial"/>
          <w:sz w:val="24"/>
          <w:szCs w:val="24"/>
          <w:u w:val="single"/>
          <w:lang w:val="es-ES"/>
        </w:rPr>
        <w:t>Lesión pulmonar aguda asociada a la transfusión (TRALI)</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En casos muy raros, puede producirse un edema pulmonar no </w:t>
      </w:r>
      <w:proofErr w:type="spellStart"/>
      <w:r>
        <w:rPr>
          <w:rFonts w:ascii="Arial" w:hAnsi="Arial" w:cs="Arial"/>
          <w:sz w:val="24"/>
          <w:szCs w:val="24"/>
          <w:lang w:val="es-ES"/>
        </w:rPr>
        <w:t>cardiogénico</w:t>
      </w:r>
      <w:proofErr w:type="spellEnd"/>
      <w:r>
        <w:rPr>
          <w:rFonts w:ascii="Arial" w:hAnsi="Arial" w:cs="Arial"/>
          <w:sz w:val="24"/>
          <w:szCs w:val="24"/>
          <w:lang w:val="es-ES"/>
        </w:rPr>
        <w:t xml:space="preserve"> tras el tratamiento con productos a base de </w:t>
      </w:r>
      <w:proofErr w:type="spellStart"/>
      <w:r>
        <w:rPr>
          <w:rFonts w:ascii="Arial" w:hAnsi="Arial" w:cs="Arial"/>
          <w:sz w:val="24"/>
          <w:szCs w:val="24"/>
          <w:lang w:val="es-ES"/>
        </w:rPr>
        <w:t>IgIV</w:t>
      </w:r>
      <w:proofErr w:type="spellEnd"/>
      <w:r>
        <w:rPr>
          <w:rFonts w:ascii="Arial" w:hAnsi="Arial" w:cs="Arial"/>
          <w:sz w:val="24"/>
          <w:szCs w:val="24"/>
          <w:lang w:val="es-ES"/>
        </w:rPr>
        <w:t xml:space="preserve">, incluido </w:t>
      </w:r>
      <w:proofErr w:type="spellStart"/>
      <w:r>
        <w:rPr>
          <w:rFonts w:ascii="Arial" w:hAnsi="Arial" w:cs="Arial"/>
          <w:sz w:val="24"/>
          <w:szCs w:val="24"/>
          <w:lang w:val="es-ES"/>
        </w:rPr>
        <w:t>Privigen</w:t>
      </w:r>
      <w:proofErr w:type="spellEnd"/>
      <w:r>
        <w:rPr>
          <w:rFonts w:ascii="Arial" w:hAnsi="Arial" w:cs="Arial"/>
          <w:sz w:val="24"/>
          <w:szCs w:val="24"/>
          <w:lang w:val="es-ES"/>
        </w:rPr>
        <w:t xml:space="preserve">. La TRALI se caracteriza por dificultad respiratoria aguda, edema pulmonar, hipoxemia, función ventricular izquierda normal y fiebre. Por lo general, los síntomas se manifiestan entre 1 y 6 horas de la administración del tratamiento. </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Supervise a los pacientes en busca de reacciones pulmonares adversas. Las TRALI podrán tratarse utilizando la terapia de oxígeno con un soporte ventilatorio adecuado.</w:t>
      </w:r>
    </w:p>
    <w:p w:rsidR="00936278" w:rsidRDefault="00936278" w:rsidP="00936278">
      <w:pPr>
        <w:spacing w:line="240" w:lineRule="auto"/>
        <w:rPr>
          <w:rFonts w:ascii="Arial" w:hAnsi="Arial" w:cs="Arial"/>
          <w:sz w:val="24"/>
          <w:szCs w:val="24"/>
          <w:u w:val="single"/>
          <w:lang w:val="es-ES"/>
        </w:rPr>
      </w:pPr>
      <w:r>
        <w:rPr>
          <w:rFonts w:ascii="Arial" w:hAnsi="Arial" w:cs="Arial"/>
          <w:sz w:val="24"/>
          <w:szCs w:val="24"/>
          <w:u w:val="single"/>
          <w:lang w:val="es-ES"/>
        </w:rPr>
        <w:t>Seguridad del patógeno</w:t>
      </w:r>
    </w:p>
    <w:p w:rsidR="00936278" w:rsidRDefault="00936278" w:rsidP="00936278">
      <w:pPr>
        <w:spacing w:line="240" w:lineRule="auto"/>
        <w:rPr>
          <w:rFonts w:ascii="Arial" w:hAnsi="Arial" w:cs="Arial"/>
          <w:sz w:val="24"/>
          <w:szCs w:val="24"/>
          <w:lang w:val="es-ES"/>
        </w:rPr>
      </w:pPr>
      <w:proofErr w:type="spellStart"/>
      <w:r>
        <w:rPr>
          <w:rFonts w:ascii="Arial" w:hAnsi="Arial" w:cs="Arial"/>
          <w:sz w:val="24"/>
          <w:szCs w:val="24"/>
          <w:lang w:val="es-ES"/>
        </w:rPr>
        <w:t>Privigen</w:t>
      </w:r>
      <w:proofErr w:type="spellEnd"/>
      <w:r>
        <w:rPr>
          <w:rFonts w:ascii="Arial" w:hAnsi="Arial" w:cs="Arial"/>
          <w:sz w:val="24"/>
          <w:szCs w:val="24"/>
          <w:lang w:val="es-ES"/>
        </w:rPr>
        <w:t xml:space="preserve"> es producido a partir del plasma humano. Entre las medidas habituales para evitar infecciones que pudieran resultar de la utilización de medicamentos preparados a partir de sangre o plasma humanos, se incluye la selección de los donadores, las pruebas realizadas en donaciones individuales y mezclas de plasmas para marcadores específicos de infección y la introducción de pasos eficaces de fabricación para la inactivación/remoción de virus (ver también la sección «Propiedades/Efectos»). Sin embargo, no se puede excluir completamente la posibilidad de transmisión de agentes infecciosos, cuando se administran medicamentos preparados a partir de sangre o plasma humano. Esto también es válido en el caso de cualquier virus desconocido o emergente y otros agentes patógenos.</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Las medidas adoptadas se consideran eficaces para los virus con envoltura, como el de la inmunodeficiencia humana (VIH), el de la hepatitis B (VHB) y el </w:t>
      </w:r>
      <w:r>
        <w:rPr>
          <w:rFonts w:ascii="Arial" w:hAnsi="Arial" w:cs="Arial"/>
          <w:sz w:val="24"/>
          <w:szCs w:val="24"/>
          <w:lang w:val="es-ES"/>
        </w:rPr>
        <w:lastRenderedPageBreak/>
        <w:t xml:space="preserve">de la hepatitis C (VHC), y para los virus sin envoltura como el de la hepatitis A (VHA) y el parvovirus B19. </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La experiencia clínica demuestra que no hay transmisión de infecciones de hepatitis A o del parvovirus B19 por inmunoglobulinas, y además se asume que el contenido de anticuerpos representa una contribución importante a la seguridad </w:t>
      </w:r>
      <w:proofErr w:type="spellStart"/>
      <w:r>
        <w:rPr>
          <w:rFonts w:ascii="Arial" w:hAnsi="Arial" w:cs="Arial"/>
          <w:sz w:val="24"/>
          <w:szCs w:val="24"/>
          <w:lang w:val="es-ES"/>
        </w:rPr>
        <w:t>viral</w:t>
      </w:r>
      <w:proofErr w:type="spellEnd"/>
      <w:r>
        <w:rPr>
          <w:rFonts w:ascii="Arial" w:hAnsi="Arial" w:cs="Arial"/>
          <w:sz w:val="24"/>
          <w:szCs w:val="24"/>
          <w:lang w:val="es-ES"/>
        </w:rPr>
        <w:t>.</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Se recomienda tomar nota del nombre y del número de lote del producto cada vez que se administre </w:t>
      </w:r>
      <w:proofErr w:type="spellStart"/>
      <w:r>
        <w:rPr>
          <w:rFonts w:ascii="Arial" w:hAnsi="Arial" w:cs="Arial"/>
          <w:sz w:val="24"/>
          <w:szCs w:val="24"/>
          <w:lang w:val="es-ES"/>
        </w:rPr>
        <w:t>Privigen</w:t>
      </w:r>
      <w:proofErr w:type="spellEnd"/>
      <w:r>
        <w:rPr>
          <w:rFonts w:ascii="Arial" w:hAnsi="Arial" w:cs="Arial"/>
          <w:sz w:val="24"/>
          <w:szCs w:val="24"/>
          <w:lang w:val="es-ES"/>
        </w:rPr>
        <w:t>, a fin de mantener un vínculo entre el paciente y el lote del producto.</w:t>
      </w:r>
    </w:p>
    <w:p w:rsidR="00936278" w:rsidRDefault="00936278" w:rsidP="00936278">
      <w:pPr>
        <w:spacing w:line="240" w:lineRule="auto"/>
        <w:rPr>
          <w:rFonts w:ascii="Arial" w:hAnsi="Arial" w:cs="Arial"/>
          <w:sz w:val="24"/>
          <w:szCs w:val="24"/>
          <w:lang w:val="es-ES"/>
        </w:rPr>
      </w:pPr>
    </w:p>
    <w:p w:rsidR="00936278" w:rsidRDefault="00936278" w:rsidP="00936278">
      <w:pPr>
        <w:spacing w:line="240" w:lineRule="auto"/>
        <w:rPr>
          <w:rFonts w:ascii="Arial" w:hAnsi="Arial" w:cs="Arial"/>
          <w:sz w:val="24"/>
          <w:szCs w:val="24"/>
          <w:u w:val="single"/>
          <w:lang w:val="es-ES"/>
        </w:rPr>
      </w:pPr>
      <w:r>
        <w:rPr>
          <w:rFonts w:ascii="Arial" w:hAnsi="Arial" w:cs="Arial"/>
          <w:sz w:val="24"/>
          <w:szCs w:val="24"/>
          <w:u w:val="single"/>
          <w:lang w:val="es-ES"/>
        </w:rPr>
        <w:t>Contenido de sodio</w:t>
      </w:r>
    </w:p>
    <w:p w:rsidR="00936278" w:rsidRDefault="00936278" w:rsidP="00936278">
      <w:pPr>
        <w:spacing w:line="240" w:lineRule="auto"/>
        <w:rPr>
          <w:rFonts w:ascii="Arial" w:hAnsi="Arial" w:cs="Arial"/>
          <w:sz w:val="24"/>
          <w:szCs w:val="24"/>
          <w:lang w:val="es-ES"/>
        </w:rPr>
      </w:pPr>
      <w:proofErr w:type="spellStart"/>
      <w:r>
        <w:rPr>
          <w:rFonts w:ascii="Arial" w:hAnsi="Arial" w:cs="Arial"/>
          <w:sz w:val="24"/>
          <w:szCs w:val="24"/>
          <w:lang w:val="es-ES"/>
        </w:rPr>
        <w:t>Privigen</w:t>
      </w:r>
      <w:proofErr w:type="spellEnd"/>
      <w:r>
        <w:rPr>
          <w:rFonts w:ascii="Arial" w:hAnsi="Arial" w:cs="Arial"/>
          <w:sz w:val="24"/>
          <w:szCs w:val="24"/>
          <w:lang w:val="es-ES"/>
        </w:rPr>
        <w:t xml:space="preserve"> es, en esencia, un producto sin sodio (tiene un contenido bajo de sodio ≤ 1 </w:t>
      </w:r>
      <w:proofErr w:type="spellStart"/>
      <w:r>
        <w:rPr>
          <w:rFonts w:ascii="Arial" w:hAnsi="Arial" w:cs="Arial"/>
          <w:sz w:val="24"/>
          <w:szCs w:val="24"/>
          <w:lang w:val="es-ES"/>
        </w:rPr>
        <w:t>mmol</w:t>
      </w:r>
      <w:proofErr w:type="spellEnd"/>
      <w:r>
        <w:rPr>
          <w:rFonts w:ascii="Arial" w:hAnsi="Arial" w:cs="Arial"/>
          <w:sz w:val="24"/>
          <w:szCs w:val="24"/>
          <w:lang w:val="es-ES"/>
        </w:rPr>
        <w:t>/l).</w:t>
      </w:r>
    </w:p>
    <w:p w:rsidR="00936278" w:rsidRDefault="00936278" w:rsidP="00936278">
      <w:pPr>
        <w:spacing w:line="240" w:lineRule="auto"/>
        <w:rPr>
          <w:rFonts w:ascii="Arial" w:hAnsi="Arial" w:cs="Arial"/>
          <w:sz w:val="24"/>
          <w:szCs w:val="24"/>
          <w:lang w:val="es-ES"/>
        </w:rPr>
      </w:pPr>
    </w:p>
    <w:p w:rsidR="00936278" w:rsidRDefault="00936278" w:rsidP="00936278">
      <w:pPr>
        <w:spacing w:line="240" w:lineRule="auto"/>
        <w:rPr>
          <w:rFonts w:ascii="Arial" w:hAnsi="Arial" w:cs="Arial"/>
          <w:bCs/>
          <w:sz w:val="24"/>
          <w:szCs w:val="24"/>
          <w:u w:val="single"/>
          <w:lang w:val="es-ES"/>
        </w:rPr>
      </w:pPr>
      <w:r>
        <w:rPr>
          <w:rFonts w:ascii="Arial" w:hAnsi="Arial" w:cs="Arial"/>
          <w:bCs/>
          <w:sz w:val="24"/>
          <w:szCs w:val="24"/>
          <w:u w:val="single"/>
          <w:lang w:val="es-ES"/>
        </w:rPr>
        <w:t>Población pediátrica</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Aunque se dispone de datos limitados, se espera que las mismas advertencias, precauciones y factores de riesgo se apliquen a la población pediátrica.</w:t>
      </w:r>
    </w:p>
    <w:p w:rsidR="00936278" w:rsidRDefault="00936278" w:rsidP="00936278">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Restricciones de Uso:</w:t>
      </w:r>
    </w:p>
    <w:p w:rsidR="00936278" w:rsidRDefault="00936278" w:rsidP="00936278">
      <w:pPr>
        <w:spacing w:after="0" w:line="240" w:lineRule="auto"/>
        <w:jc w:val="center"/>
        <w:rPr>
          <w:rFonts w:ascii="Arial" w:eastAsia="Times New Roman" w:hAnsi="Arial" w:cs="Arial"/>
          <w:b/>
          <w:sz w:val="24"/>
          <w:szCs w:val="24"/>
          <w:u w:val="single"/>
          <w:lang w:val="es-ES" w:eastAsia="es-ES"/>
        </w:rPr>
      </w:pPr>
    </w:p>
    <w:p w:rsidR="00936278" w:rsidRDefault="00936278" w:rsidP="00936278">
      <w:pPr>
        <w:spacing w:line="240" w:lineRule="auto"/>
        <w:rPr>
          <w:rFonts w:ascii="Arial" w:hAnsi="Arial" w:cs="Arial"/>
          <w:b/>
          <w:bCs/>
          <w:sz w:val="24"/>
          <w:szCs w:val="24"/>
          <w:lang w:val="es-ES"/>
        </w:rPr>
      </w:pPr>
      <w:r>
        <w:rPr>
          <w:rFonts w:ascii="Arial" w:hAnsi="Arial" w:cs="Arial"/>
          <w:b/>
          <w:bCs/>
          <w:sz w:val="24"/>
          <w:szCs w:val="24"/>
          <w:lang w:val="es-ES"/>
        </w:rPr>
        <w:t>Embarazo</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No se dispone de datos clínicos controlados sobre la administración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a mujeres embarazadas, por lo cual en estos casos se debe actuar con precaución. Los productos de </w:t>
      </w:r>
      <w:proofErr w:type="spellStart"/>
      <w:r>
        <w:rPr>
          <w:rFonts w:ascii="Arial" w:hAnsi="Arial" w:cs="Arial"/>
          <w:sz w:val="24"/>
          <w:szCs w:val="24"/>
          <w:lang w:val="es-ES"/>
        </w:rPr>
        <w:t>IgIV</w:t>
      </w:r>
      <w:proofErr w:type="spellEnd"/>
      <w:r>
        <w:rPr>
          <w:rFonts w:ascii="Arial" w:hAnsi="Arial" w:cs="Arial"/>
          <w:sz w:val="24"/>
          <w:szCs w:val="24"/>
          <w:lang w:val="es-ES"/>
        </w:rPr>
        <w:t xml:space="preserve"> han mostrado que pueden atravesar la placenta, de forma creciente durante el tercer trimestre.</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Sin embargo, la prolongada experiencia clínica con inmunoglobulinas indica que no son de esperar efectos perjudiciales sobre el curso del embarazo, sobre el feto ni el recién nacido.</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No se encontraron signos de toxicidad directa o indirecta, con efectos sobre el embarazo, así como, sobre el desarrollo embrionario y fetal con el excipiente L-</w:t>
      </w:r>
      <w:proofErr w:type="spellStart"/>
      <w:r>
        <w:rPr>
          <w:rFonts w:ascii="Arial" w:hAnsi="Arial" w:cs="Arial"/>
          <w:sz w:val="24"/>
          <w:szCs w:val="24"/>
          <w:lang w:val="es-ES"/>
        </w:rPr>
        <w:t>prolina</w:t>
      </w:r>
      <w:proofErr w:type="spellEnd"/>
      <w:r>
        <w:rPr>
          <w:rFonts w:ascii="Arial" w:hAnsi="Arial" w:cs="Arial"/>
          <w:sz w:val="24"/>
          <w:szCs w:val="24"/>
          <w:lang w:val="es-ES"/>
        </w:rPr>
        <w:t>.</w:t>
      </w:r>
    </w:p>
    <w:p w:rsidR="00936278" w:rsidRDefault="00936278" w:rsidP="00936278">
      <w:pPr>
        <w:spacing w:line="240" w:lineRule="auto"/>
        <w:rPr>
          <w:rFonts w:ascii="Arial" w:hAnsi="Arial" w:cs="Arial"/>
          <w:b/>
          <w:bCs/>
          <w:sz w:val="24"/>
          <w:szCs w:val="24"/>
          <w:lang w:val="es-ES"/>
        </w:rPr>
      </w:pPr>
      <w:r>
        <w:rPr>
          <w:rFonts w:ascii="Arial" w:hAnsi="Arial" w:cs="Arial"/>
          <w:b/>
          <w:bCs/>
          <w:sz w:val="24"/>
          <w:szCs w:val="24"/>
          <w:lang w:val="es-ES"/>
        </w:rPr>
        <w:t>Lactancia</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Las inmunoglobulinas se excretan en la lecha y pueden contribuir a proteger al neonato de patógenos cuya vía de entrada son las mucosas.</w:t>
      </w:r>
    </w:p>
    <w:p w:rsidR="00936278" w:rsidRDefault="00936278" w:rsidP="00936278">
      <w:pPr>
        <w:spacing w:line="240" w:lineRule="auto"/>
        <w:rPr>
          <w:rFonts w:ascii="Arial" w:hAnsi="Arial" w:cs="Arial"/>
          <w:b/>
          <w:bCs/>
          <w:sz w:val="24"/>
          <w:szCs w:val="24"/>
          <w:lang w:val="es-ES"/>
        </w:rPr>
      </w:pPr>
      <w:r>
        <w:rPr>
          <w:rFonts w:ascii="Arial" w:hAnsi="Arial" w:cs="Arial"/>
          <w:b/>
          <w:bCs/>
          <w:sz w:val="24"/>
          <w:szCs w:val="24"/>
          <w:lang w:val="es-ES"/>
        </w:rPr>
        <w:t>Fertilidad</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La experiencia clínica con inmunoglobulinas sugiere que no se esperan efectos perjudiciales sobre la fertilidad.</w:t>
      </w:r>
    </w:p>
    <w:p w:rsidR="00936278" w:rsidRDefault="00936278" w:rsidP="00936278">
      <w:pPr>
        <w:spacing w:line="240" w:lineRule="auto"/>
        <w:rPr>
          <w:rFonts w:ascii="Arial" w:hAnsi="Arial" w:cs="Arial"/>
          <w:b/>
          <w:bCs/>
          <w:sz w:val="24"/>
          <w:szCs w:val="24"/>
          <w:lang w:val="es-ES"/>
        </w:rPr>
      </w:pPr>
      <w:r>
        <w:rPr>
          <w:rFonts w:ascii="Arial" w:hAnsi="Arial" w:cs="Arial"/>
          <w:b/>
          <w:bCs/>
          <w:sz w:val="24"/>
          <w:szCs w:val="24"/>
          <w:lang w:val="es-ES"/>
        </w:rPr>
        <w:t>Efectos sobre la capacidad para conducir y utilizar máquinas</w:t>
      </w:r>
    </w:p>
    <w:p w:rsidR="00936278" w:rsidRDefault="00936278" w:rsidP="00936278">
      <w:pPr>
        <w:spacing w:line="240" w:lineRule="auto"/>
        <w:rPr>
          <w:rFonts w:ascii="Arial" w:hAnsi="Arial" w:cs="Arial"/>
          <w:sz w:val="24"/>
          <w:szCs w:val="24"/>
          <w:lang w:val="es-ES"/>
        </w:rPr>
      </w:pPr>
      <w:r>
        <w:rPr>
          <w:rFonts w:ascii="Arial" w:hAnsi="Arial" w:cs="Arial"/>
          <w:sz w:val="24"/>
          <w:szCs w:val="24"/>
          <w:lang w:val="es-ES"/>
        </w:rPr>
        <w:t xml:space="preserve">La capacidad de conducir o utilizar máquinas puede verse alterada por algunas de las reacciones adversas que se asocian a </w:t>
      </w:r>
      <w:proofErr w:type="spellStart"/>
      <w:r>
        <w:rPr>
          <w:rFonts w:ascii="Arial" w:hAnsi="Arial" w:cs="Arial"/>
          <w:sz w:val="24"/>
          <w:szCs w:val="24"/>
          <w:lang w:val="es-ES"/>
        </w:rPr>
        <w:t>Privigen</w:t>
      </w:r>
      <w:proofErr w:type="spellEnd"/>
      <w:r>
        <w:rPr>
          <w:rFonts w:ascii="Arial" w:hAnsi="Arial" w:cs="Arial"/>
          <w:sz w:val="24"/>
          <w:szCs w:val="24"/>
          <w:lang w:val="es-ES"/>
        </w:rPr>
        <w:t xml:space="preserve">. Los pacientes que </w:t>
      </w:r>
      <w:r>
        <w:rPr>
          <w:rFonts w:ascii="Arial" w:hAnsi="Arial" w:cs="Arial"/>
          <w:sz w:val="24"/>
          <w:szCs w:val="24"/>
          <w:lang w:val="es-ES"/>
        </w:rPr>
        <w:lastRenderedPageBreak/>
        <w:t>presenten reacciones adversas durante el tratamiento deben esperar a que estas se resuelvan antes de conducir o utilizar máquinas.</w:t>
      </w:r>
    </w:p>
    <w:p w:rsidR="00936278" w:rsidRDefault="00936278" w:rsidP="00936278">
      <w:pPr>
        <w:spacing w:after="0" w:line="240" w:lineRule="auto"/>
        <w:jc w:val="center"/>
        <w:rPr>
          <w:rFonts w:ascii="Arial" w:hAnsi="Arial" w:cs="Arial"/>
          <w:sz w:val="24"/>
          <w:szCs w:val="24"/>
        </w:rPr>
      </w:pPr>
    </w:p>
    <w:p w:rsidR="00936278" w:rsidRDefault="00936278" w:rsidP="00936278">
      <w:pPr>
        <w:spacing w:after="0" w:line="240" w:lineRule="auto"/>
        <w:jc w:val="center"/>
        <w:rPr>
          <w:rFonts w:ascii="Arial" w:hAnsi="Arial" w:cs="Arial"/>
          <w:sz w:val="24"/>
          <w:szCs w:val="24"/>
        </w:rPr>
      </w:pPr>
    </w:p>
    <w:p w:rsidR="00936278" w:rsidRDefault="00936278" w:rsidP="00936278">
      <w:pPr>
        <w:spacing w:after="0" w:line="240" w:lineRule="auto"/>
        <w:jc w:val="center"/>
        <w:rPr>
          <w:rFonts w:ascii="Arial" w:hAnsi="Arial" w:cs="Arial"/>
          <w:sz w:val="24"/>
          <w:szCs w:val="24"/>
        </w:rPr>
      </w:pPr>
    </w:p>
    <w:p w:rsidR="00936278" w:rsidRDefault="00936278" w:rsidP="00936278">
      <w:pPr>
        <w:spacing w:after="0" w:line="240" w:lineRule="auto"/>
        <w:jc w:val="center"/>
        <w:rPr>
          <w:rFonts w:ascii="Arial" w:hAnsi="Arial" w:cs="Arial"/>
          <w:sz w:val="24"/>
          <w:szCs w:val="24"/>
        </w:rPr>
      </w:pPr>
    </w:p>
    <w:p w:rsidR="00936278" w:rsidRDefault="00936278" w:rsidP="00936278">
      <w:pPr>
        <w:spacing w:after="0" w:line="240" w:lineRule="auto"/>
        <w:jc w:val="center"/>
        <w:rPr>
          <w:rFonts w:ascii="Arial" w:hAnsi="Arial" w:cs="Arial"/>
          <w:sz w:val="24"/>
          <w:szCs w:val="24"/>
        </w:rPr>
      </w:pPr>
    </w:p>
    <w:p w:rsidR="00936278" w:rsidRDefault="00936278" w:rsidP="00936278">
      <w:pPr>
        <w:spacing w:after="0" w:line="240" w:lineRule="auto"/>
        <w:jc w:val="center"/>
        <w:rPr>
          <w:rFonts w:ascii="Arial" w:hAnsi="Arial" w:cs="Arial"/>
          <w:sz w:val="24"/>
          <w:szCs w:val="24"/>
        </w:rPr>
      </w:pPr>
    </w:p>
    <w:p w:rsidR="00936278" w:rsidRDefault="00936278" w:rsidP="00936278">
      <w:pPr>
        <w:spacing w:after="0" w:line="240" w:lineRule="auto"/>
        <w:jc w:val="center"/>
        <w:rPr>
          <w:rFonts w:ascii="Arial" w:hAnsi="Arial" w:cs="Arial"/>
          <w:sz w:val="24"/>
          <w:szCs w:val="24"/>
        </w:rPr>
      </w:pPr>
    </w:p>
    <w:p w:rsidR="00936278" w:rsidRDefault="00936278" w:rsidP="00936278">
      <w:pPr>
        <w:spacing w:after="0" w:line="240" w:lineRule="auto"/>
        <w:jc w:val="center"/>
        <w:rPr>
          <w:rFonts w:ascii="Arial" w:hAnsi="Arial" w:cs="Arial"/>
          <w:sz w:val="24"/>
          <w:szCs w:val="24"/>
        </w:rPr>
      </w:pPr>
    </w:p>
    <w:p w:rsidR="00936278" w:rsidRDefault="00936278" w:rsidP="00936278">
      <w:pPr>
        <w:spacing w:after="0" w:line="240" w:lineRule="auto"/>
        <w:jc w:val="center"/>
        <w:rPr>
          <w:rFonts w:ascii="Arial" w:hAnsi="Arial" w:cs="Arial"/>
          <w:sz w:val="24"/>
          <w:szCs w:val="24"/>
        </w:rPr>
      </w:pPr>
    </w:p>
    <w:p w:rsidR="00936278" w:rsidRDefault="00936278" w:rsidP="00936278">
      <w:pPr>
        <w:spacing w:after="0" w:line="240" w:lineRule="auto"/>
        <w:jc w:val="center"/>
        <w:rPr>
          <w:rFonts w:ascii="Arial" w:hAnsi="Arial" w:cs="Arial"/>
          <w:sz w:val="24"/>
          <w:szCs w:val="24"/>
        </w:rPr>
      </w:pPr>
    </w:p>
    <w:p w:rsidR="00936278" w:rsidRDefault="00936278" w:rsidP="00936278">
      <w:pPr>
        <w:spacing w:after="0" w:line="240" w:lineRule="auto"/>
        <w:jc w:val="center"/>
        <w:rPr>
          <w:rFonts w:ascii="Arial" w:hAnsi="Arial" w:cs="Arial"/>
          <w:sz w:val="24"/>
          <w:szCs w:val="24"/>
        </w:rPr>
      </w:pPr>
    </w:p>
    <w:p w:rsidR="00936278" w:rsidRDefault="00936278" w:rsidP="00936278">
      <w:pPr>
        <w:spacing w:after="0" w:line="240" w:lineRule="auto"/>
        <w:jc w:val="center"/>
        <w:rPr>
          <w:rFonts w:ascii="Arial" w:hAnsi="Arial" w:cs="Arial"/>
          <w:sz w:val="24"/>
          <w:szCs w:val="24"/>
        </w:rPr>
      </w:pPr>
    </w:p>
    <w:p w:rsidR="00936278" w:rsidRDefault="00936278" w:rsidP="00936278">
      <w:pPr>
        <w:spacing w:after="0" w:line="240" w:lineRule="auto"/>
        <w:jc w:val="center"/>
        <w:rPr>
          <w:rFonts w:ascii="Arial" w:hAnsi="Arial" w:cs="Arial"/>
          <w:sz w:val="24"/>
          <w:szCs w:val="24"/>
        </w:rPr>
      </w:pPr>
    </w:p>
    <w:p w:rsidR="00936278" w:rsidRDefault="00936278" w:rsidP="00936278">
      <w:pPr>
        <w:spacing w:after="0" w:line="240" w:lineRule="auto"/>
        <w:jc w:val="center"/>
        <w:rPr>
          <w:rFonts w:ascii="Arial" w:hAnsi="Arial" w:cs="Arial"/>
          <w:sz w:val="24"/>
          <w:szCs w:val="24"/>
        </w:rPr>
      </w:pPr>
    </w:p>
    <w:p w:rsidR="00936278" w:rsidRDefault="00936278" w:rsidP="00936278">
      <w:pPr>
        <w:spacing w:after="0" w:line="240" w:lineRule="auto"/>
        <w:jc w:val="center"/>
        <w:rPr>
          <w:rFonts w:ascii="Arial" w:hAnsi="Arial" w:cs="Arial"/>
          <w:sz w:val="24"/>
          <w:szCs w:val="24"/>
        </w:rPr>
      </w:pPr>
    </w:p>
    <w:p w:rsidR="00936278" w:rsidRDefault="00936278" w:rsidP="00936278">
      <w:pPr>
        <w:spacing w:after="0" w:line="240" w:lineRule="auto"/>
        <w:jc w:val="center"/>
        <w:rPr>
          <w:rFonts w:ascii="Arial" w:eastAsia="Times New Roman" w:hAnsi="Arial" w:cs="Arial"/>
          <w:b/>
          <w:sz w:val="28"/>
          <w:szCs w:val="24"/>
          <w:u w:val="single"/>
          <w:lang w:val="es-ES" w:eastAsia="es-ES"/>
        </w:rPr>
      </w:pPr>
      <w:r>
        <w:rPr>
          <w:rFonts w:ascii="Arial" w:eastAsia="Times New Roman" w:hAnsi="Arial" w:cs="Arial"/>
          <w:b/>
          <w:sz w:val="28"/>
          <w:szCs w:val="24"/>
          <w:u w:val="single"/>
          <w:lang w:val="es-ES" w:eastAsia="es-ES"/>
        </w:rPr>
        <w:t>Datos farmacológicos</w:t>
      </w:r>
    </w:p>
    <w:p w:rsidR="00936278" w:rsidRDefault="00936278" w:rsidP="00936278">
      <w:pPr>
        <w:jc w:val="center"/>
        <w:rPr>
          <w:rFonts w:ascii="Arial" w:hAnsi="Arial" w:cs="Arial"/>
          <w:b/>
          <w:sz w:val="24"/>
          <w:szCs w:val="24"/>
        </w:rPr>
      </w:pPr>
    </w:p>
    <w:p w:rsidR="00936278" w:rsidRDefault="00936278" w:rsidP="00936278">
      <w:p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Mecanismo de Acción y Datos de Farmacocinética</w:t>
      </w:r>
      <w:r>
        <w:rPr>
          <w:rFonts w:ascii="Arial" w:eastAsia="Times New Roman" w:hAnsi="Arial" w:cs="Arial"/>
          <w:sz w:val="24"/>
          <w:szCs w:val="24"/>
          <w:lang w:val="es-ES" w:eastAsia="es-ES"/>
        </w:rPr>
        <w:t>:</w:t>
      </w:r>
    </w:p>
    <w:p w:rsidR="00936278" w:rsidRDefault="00936278" w:rsidP="00936278">
      <w:pPr>
        <w:rPr>
          <w:rFonts w:ascii="Arial" w:hAnsi="Arial" w:cs="Arial"/>
          <w:sz w:val="24"/>
          <w:szCs w:val="24"/>
          <w:lang w:val="es-ES"/>
        </w:rPr>
      </w:pPr>
      <w:proofErr w:type="spellStart"/>
      <w:r>
        <w:rPr>
          <w:rFonts w:ascii="Arial" w:hAnsi="Arial" w:cs="Arial"/>
          <w:sz w:val="24"/>
          <w:szCs w:val="24"/>
          <w:lang w:val="es-ES"/>
        </w:rPr>
        <w:t>Privigen</w:t>
      </w:r>
      <w:proofErr w:type="spellEnd"/>
      <w:r>
        <w:rPr>
          <w:rFonts w:ascii="Arial" w:hAnsi="Arial" w:cs="Arial"/>
          <w:sz w:val="24"/>
          <w:szCs w:val="24"/>
          <w:lang w:val="es-ES"/>
        </w:rPr>
        <w:t xml:space="preserve"> es producido a partir del plasma de 1000 o más donantes humanos. El proceso de fabricación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incluye los siguientes pasos: precipitación con etanol de la fracción plasmática de la </w:t>
      </w:r>
      <w:proofErr w:type="spellStart"/>
      <w:r>
        <w:rPr>
          <w:rFonts w:ascii="Arial" w:hAnsi="Arial" w:cs="Arial"/>
          <w:sz w:val="24"/>
          <w:szCs w:val="24"/>
          <w:lang w:val="es-ES"/>
        </w:rPr>
        <w:t>IgG</w:t>
      </w:r>
      <w:proofErr w:type="spellEnd"/>
      <w:r>
        <w:rPr>
          <w:rFonts w:ascii="Arial" w:hAnsi="Arial" w:cs="Arial"/>
          <w:sz w:val="24"/>
          <w:szCs w:val="24"/>
          <w:lang w:val="es-ES"/>
        </w:rPr>
        <w:t xml:space="preserve">, seguida de un fraccionamiento con ácido </w:t>
      </w:r>
      <w:proofErr w:type="spellStart"/>
      <w:r>
        <w:rPr>
          <w:rFonts w:ascii="Arial" w:hAnsi="Arial" w:cs="Arial"/>
          <w:sz w:val="24"/>
          <w:szCs w:val="24"/>
          <w:lang w:val="es-ES"/>
        </w:rPr>
        <w:t>octanóico</w:t>
      </w:r>
      <w:proofErr w:type="spellEnd"/>
      <w:r>
        <w:rPr>
          <w:rFonts w:ascii="Arial" w:hAnsi="Arial" w:cs="Arial"/>
          <w:sz w:val="24"/>
          <w:szCs w:val="24"/>
          <w:lang w:val="es-ES"/>
        </w:rPr>
        <w:t xml:space="preserve"> y una incubación a un pH 4. Los siguientes pasos de purificación incluyen una filtración profunda, una cromatografía, una cromatografía de </w:t>
      </w:r>
      <w:proofErr w:type="spellStart"/>
      <w:r>
        <w:rPr>
          <w:rFonts w:ascii="Arial" w:hAnsi="Arial" w:cs="Arial"/>
          <w:sz w:val="24"/>
          <w:szCs w:val="24"/>
          <w:lang w:val="es-ES"/>
        </w:rPr>
        <w:t>inmunoafinidad</w:t>
      </w:r>
      <w:proofErr w:type="spellEnd"/>
      <w:r>
        <w:rPr>
          <w:rFonts w:ascii="Arial" w:hAnsi="Arial" w:cs="Arial"/>
          <w:sz w:val="24"/>
          <w:szCs w:val="24"/>
          <w:lang w:val="es-ES"/>
        </w:rPr>
        <w:t>, para específicamente reducir los anticuerpos sanguíneos de grupos A y B (</w:t>
      </w:r>
      <w:proofErr w:type="spellStart"/>
      <w:r>
        <w:rPr>
          <w:rFonts w:ascii="Arial" w:hAnsi="Arial" w:cs="Arial"/>
          <w:sz w:val="24"/>
          <w:szCs w:val="24"/>
          <w:lang w:val="es-ES"/>
        </w:rPr>
        <w:t>isoaglutininas</w:t>
      </w:r>
      <w:proofErr w:type="spellEnd"/>
      <w:r>
        <w:rPr>
          <w:rFonts w:ascii="Arial" w:hAnsi="Arial" w:cs="Arial"/>
          <w:sz w:val="24"/>
          <w:szCs w:val="24"/>
          <w:lang w:val="es-ES"/>
        </w:rPr>
        <w:t xml:space="preserve"> A y B), y un paso de filtración que puede eliminar partículas hasta un tamaño de 20 </w:t>
      </w:r>
      <w:proofErr w:type="spellStart"/>
      <w:r>
        <w:rPr>
          <w:rFonts w:ascii="Arial" w:hAnsi="Arial" w:cs="Arial"/>
          <w:sz w:val="24"/>
          <w:szCs w:val="24"/>
          <w:lang w:val="es-ES"/>
        </w:rPr>
        <w:t>nm</w:t>
      </w:r>
      <w:proofErr w:type="spellEnd"/>
      <w:r>
        <w:rPr>
          <w:rFonts w:ascii="Arial" w:hAnsi="Arial" w:cs="Arial"/>
          <w:sz w:val="24"/>
          <w:szCs w:val="24"/>
          <w:lang w:val="es-ES"/>
        </w:rPr>
        <w:t>.</w:t>
      </w:r>
    </w:p>
    <w:p w:rsidR="00936278" w:rsidRDefault="00936278" w:rsidP="00936278">
      <w:pPr>
        <w:rPr>
          <w:rFonts w:ascii="Arial" w:hAnsi="Arial" w:cs="Arial"/>
          <w:sz w:val="24"/>
          <w:szCs w:val="24"/>
          <w:lang w:val="es-ES"/>
        </w:rPr>
      </w:pPr>
      <w:proofErr w:type="spellStart"/>
      <w:r>
        <w:rPr>
          <w:rFonts w:ascii="Arial" w:hAnsi="Arial" w:cs="Arial"/>
          <w:sz w:val="24"/>
          <w:szCs w:val="24"/>
          <w:lang w:val="es-ES"/>
        </w:rPr>
        <w:t>Privigen</w:t>
      </w:r>
      <w:proofErr w:type="spellEnd"/>
      <w:r>
        <w:rPr>
          <w:rFonts w:ascii="Arial" w:hAnsi="Arial" w:cs="Arial"/>
          <w:sz w:val="24"/>
          <w:szCs w:val="24"/>
          <w:lang w:val="es-ES"/>
        </w:rPr>
        <w:t xml:space="preserve"> contiene, principalmente, </w:t>
      </w:r>
      <w:proofErr w:type="spellStart"/>
      <w:r>
        <w:rPr>
          <w:rFonts w:ascii="Arial" w:hAnsi="Arial" w:cs="Arial"/>
          <w:sz w:val="24"/>
          <w:szCs w:val="24"/>
          <w:lang w:val="es-ES"/>
        </w:rPr>
        <w:t>IgG</w:t>
      </w:r>
      <w:proofErr w:type="spellEnd"/>
      <w:r>
        <w:rPr>
          <w:rFonts w:ascii="Arial" w:hAnsi="Arial" w:cs="Arial"/>
          <w:sz w:val="24"/>
          <w:szCs w:val="24"/>
          <w:lang w:val="es-ES"/>
        </w:rPr>
        <w:t xml:space="preserve"> presentes en la población humana normal y que muestran un amplio espectro de anticuerpos funcionalmente intactos contra los agentes infecciosos. En la terapia de reemplazo, dosis adecuadas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podrán restaurar los niveles anormalmente bajos de </w:t>
      </w:r>
      <w:proofErr w:type="spellStart"/>
      <w:r>
        <w:rPr>
          <w:rFonts w:ascii="Arial" w:hAnsi="Arial" w:cs="Arial"/>
          <w:sz w:val="24"/>
          <w:szCs w:val="24"/>
          <w:lang w:val="es-ES"/>
        </w:rPr>
        <w:t>IgG</w:t>
      </w:r>
      <w:proofErr w:type="spellEnd"/>
      <w:r>
        <w:rPr>
          <w:rFonts w:ascii="Arial" w:hAnsi="Arial" w:cs="Arial"/>
          <w:sz w:val="24"/>
          <w:szCs w:val="24"/>
          <w:lang w:val="es-ES"/>
        </w:rPr>
        <w:t xml:space="preserve"> al rango normal.</w:t>
      </w:r>
    </w:p>
    <w:p w:rsidR="00936278" w:rsidRDefault="00936278" w:rsidP="00936278">
      <w:pPr>
        <w:rPr>
          <w:rFonts w:ascii="Arial" w:hAnsi="Arial" w:cs="Arial"/>
          <w:sz w:val="24"/>
          <w:szCs w:val="24"/>
          <w:lang w:val="es-ES"/>
        </w:rPr>
      </w:pPr>
      <w:r>
        <w:rPr>
          <w:rFonts w:ascii="Arial" w:hAnsi="Arial" w:cs="Arial"/>
          <w:sz w:val="24"/>
          <w:szCs w:val="24"/>
          <w:lang w:val="es-ES"/>
        </w:rPr>
        <w:t xml:space="preserve">La distribución de subclases de </w:t>
      </w:r>
      <w:proofErr w:type="spellStart"/>
      <w:r>
        <w:rPr>
          <w:rFonts w:ascii="Arial" w:hAnsi="Arial" w:cs="Arial"/>
          <w:sz w:val="24"/>
          <w:szCs w:val="24"/>
          <w:lang w:val="es-ES"/>
        </w:rPr>
        <w:t>IgG</w:t>
      </w:r>
      <w:proofErr w:type="spellEnd"/>
      <w:r>
        <w:rPr>
          <w:rFonts w:ascii="Arial" w:hAnsi="Arial" w:cs="Arial"/>
          <w:sz w:val="24"/>
          <w:szCs w:val="24"/>
          <w:lang w:val="es-ES"/>
        </w:rPr>
        <w:t xml:space="preserve"> en </w:t>
      </w:r>
      <w:proofErr w:type="spellStart"/>
      <w:r>
        <w:rPr>
          <w:rFonts w:ascii="Arial" w:hAnsi="Arial" w:cs="Arial"/>
          <w:sz w:val="24"/>
          <w:szCs w:val="24"/>
          <w:lang w:val="es-ES"/>
        </w:rPr>
        <w:t>Privigen</w:t>
      </w:r>
      <w:proofErr w:type="spellEnd"/>
      <w:r>
        <w:rPr>
          <w:rFonts w:ascii="Arial" w:hAnsi="Arial" w:cs="Arial"/>
          <w:sz w:val="24"/>
          <w:szCs w:val="24"/>
          <w:lang w:val="es-ES"/>
        </w:rPr>
        <w:t xml:space="preserve"> corresponde aproximadamente a la del plasma humano nativo.</w:t>
      </w:r>
    </w:p>
    <w:p w:rsidR="00936278" w:rsidRDefault="00936278" w:rsidP="00936278">
      <w:pPr>
        <w:rPr>
          <w:rFonts w:ascii="Arial" w:hAnsi="Arial" w:cs="Arial"/>
          <w:sz w:val="24"/>
          <w:szCs w:val="24"/>
          <w:lang w:val="es-ES"/>
        </w:rPr>
      </w:pPr>
      <w:r>
        <w:rPr>
          <w:rFonts w:ascii="Arial" w:hAnsi="Arial" w:cs="Arial"/>
          <w:sz w:val="24"/>
          <w:szCs w:val="24"/>
          <w:lang w:val="es-ES"/>
        </w:rPr>
        <w:t xml:space="preserve">Se mantienen las funciones del </w:t>
      </w:r>
      <w:proofErr w:type="spellStart"/>
      <w:r>
        <w:rPr>
          <w:rFonts w:ascii="Arial" w:hAnsi="Arial" w:cs="Arial"/>
          <w:sz w:val="24"/>
          <w:szCs w:val="24"/>
          <w:lang w:val="es-ES"/>
        </w:rPr>
        <w:t>Fc</w:t>
      </w:r>
      <w:proofErr w:type="spellEnd"/>
      <w:r>
        <w:rPr>
          <w:rFonts w:ascii="Arial" w:hAnsi="Arial" w:cs="Arial"/>
          <w:sz w:val="24"/>
          <w:szCs w:val="24"/>
          <w:lang w:val="es-ES"/>
        </w:rPr>
        <w:t xml:space="preserve"> y </w:t>
      </w:r>
      <w:proofErr w:type="spellStart"/>
      <w:r>
        <w:rPr>
          <w:rFonts w:ascii="Arial" w:hAnsi="Arial" w:cs="Arial"/>
          <w:sz w:val="24"/>
          <w:szCs w:val="24"/>
          <w:lang w:val="es-ES"/>
        </w:rPr>
        <w:t>Fab</w:t>
      </w:r>
      <w:proofErr w:type="spellEnd"/>
      <w:r>
        <w:rPr>
          <w:rFonts w:ascii="Arial" w:hAnsi="Arial" w:cs="Arial"/>
          <w:sz w:val="24"/>
          <w:szCs w:val="24"/>
          <w:lang w:val="es-ES"/>
        </w:rPr>
        <w:t xml:space="preserve"> de las moléculas de </w:t>
      </w:r>
      <w:proofErr w:type="spellStart"/>
      <w:r>
        <w:rPr>
          <w:rFonts w:ascii="Arial" w:hAnsi="Arial" w:cs="Arial"/>
          <w:sz w:val="24"/>
          <w:szCs w:val="24"/>
          <w:lang w:val="es-ES"/>
        </w:rPr>
        <w:t>IgG</w:t>
      </w:r>
      <w:proofErr w:type="spellEnd"/>
      <w:r>
        <w:rPr>
          <w:rFonts w:ascii="Arial" w:hAnsi="Arial" w:cs="Arial"/>
          <w:sz w:val="24"/>
          <w:szCs w:val="24"/>
          <w:lang w:val="es-ES"/>
        </w:rPr>
        <w:t xml:space="preserve">. La capacidad de los fragmentos </w:t>
      </w:r>
      <w:proofErr w:type="spellStart"/>
      <w:r>
        <w:rPr>
          <w:rFonts w:ascii="Arial" w:hAnsi="Arial" w:cs="Arial"/>
          <w:sz w:val="24"/>
          <w:szCs w:val="24"/>
          <w:lang w:val="es-ES"/>
        </w:rPr>
        <w:t>Fab</w:t>
      </w:r>
      <w:proofErr w:type="spellEnd"/>
      <w:r>
        <w:rPr>
          <w:rFonts w:ascii="Arial" w:hAnsi="Arial" w:cs="Arial"/>
          <w:sz w:val="24"/>
          <w:szCs w:val="24"/>
          <w:lang w:val="es-ES"/>
        </w:rPr>
        <w:t xml:space="preserve"> para fijar antígenos se ha demostrado con métodos bioquímicos y biológicos. La función del </w:t>
      </w:r>
      <w:proofErr w:type="spellStart"/>
      <w:r>
        <w:rPr>
          <w:rFonts w:ascii="Arial" w:hAnsi="Arial" w:cs="Arial"/>
          <w:sz w:val="24"/>
          <w:szCs w:val="24"/>
          <w:lang w:val="es-ES"/>
        </w:rPr>
        <w:t>Fc</w:t>
      </w:r>
      <w:proofErr w:type="spellEnd"/>
      <w:r>
        <w:rPr>
          <w:rFonts w:ascii="Arial" w:hAnsi="Arial" w:cs="Arial"/>
          <w:sz w:val="24"/>
          <w:szCs w:val="24"/>
          <w:lang w:val="es-ES"/>
        </w:rPr>
        <w:t xml:space="preserve"> se comprobó con la activación del complemento y con la activación de los leucocitos mediada por el receptor </w:t>
      </w:r>
      <w:proofErr w:type="spellStart"/>
      <w:r>
        <w:rPr>
          <w:rFonts w:ascii="Arial" w:hAnsi="Arial" w:cs="Arial"/>
          <w:sz w:val="24"/>
          <w:szCs w:val="24"/>
          <w:lang w:val="es-ES"/>
        </w:rPr>
        <w:t>Fc</w:t>
      </w:r>
      <w:proofErr w:type="spellEnd"/>
      <w:r>
        <w:rPr>
          <w:rFonts w:ascii="Arial" w:hAnsi="Arial" w:cs="Arial"/>
          <w:sz w:val="24"/>
          <w:szCs w:val="24"/>
          <w:lang w:val="es-ES"/>
        </w:rPr>
        <w:t>. La inhibición de la activación del complemento inducida por el complejo inmune («depuración» o «</w:t>
      </w:r>
      <w:proofErr w:type="spellStart"/>
      <w:r>
        <w:rPr>
          <w:rFonts w:ascii="Arial" w:hAnsi="Arial" w:cs="Arial"/>
          <w:sz w:val="24"/>
          <w:szCs w:val="24"/>
          <w:lang w:val="es-ES"/>
        </w:rPr>
        <w:t>scavenging</w:t>
      </w:r>
      <w:proofErr w:type="spellEnd"/>
      <w:r>
        <w:rPr>
          <w:rFonts w:ascii="Arial" w:hAnsi="Arial" w:cs="Arial"/>
          <w:sz w:val="24"/>
          <w:szCs w:val="24"/>
          <w:lang w:val="es-ES"/>
        </w:rPr>
        <w:t xml:space="preserve">», una función antiinflamatoria de las </w:t>
      </w:r>
      <w:proofErr w:type="spellStart"/>
      <w:r>
        <w:rPr>
          <w:rFonts w:ascii="Arial" w:hAnsi="Arial" w:cs="Arial"/>
          <w:sz w:val="24"/>
          <w:szCs w:val="24"/>
          <w:lang w:val="es-ES"/>
        </w:rPr>
        <w:t>IgIV</w:t>
      </w:r>
      <w:proofErr w:type="spellEnd"/>
      <w:r>
        <w:rPr>
          <w:rFonts w:ascii="Arial" w:hAnsi="Arial" w:cs="Arial"/>
          <w:sz w:val="24"/>
          <w:szCs w:val="24"/>
          <w:lang w:val="es-ES"/>
        </w:rPr>
        <w:t xml:space="preserve">) se mantiene en </w:t>
      </w:r>
      <w:proofErr w:type="spellStart"/>
      <w:r>
        <w:rPr>
          <w:rFonts w:ascii="Arial" w:hAnsi="Arial" w:cs="Arial"/>
          <w:sz w:val="24"/>
          <w:szCs w:val="24"/>
          <w:lang w:val="es-ES"/>
        </w:rPr>
        <w:t>Privigen</w:t>
      </w:r>
      <w:proofErr w:type="spellEnd"/>
      <w:r>
        <w:rPr>
          <w:rFonts w:ascii="Arial" w:hAnsi="Arial" w:cs="Arial"/>
          <w:sz w:val="24"/>
          <w:szCs w:val="24"/>
          <w:lang w:val="es-ES"/>
        </w:rPr>
        <w:t>.</w:t>
      </w:r>
    </w:p>
    <w:p w:rsidR="00936278" w:rsidRDefault="00936278" w:rsidP="00936278">
      <w:pPr>
        <w:rPr>
          <w:rFonts w:ascii="Arial" w:hAnsi="Arial" w:cs="Arial"/>
          <w:sz w:val="24"/>
          <w:szCs w:val="24"/>
          <w:lang w:val="es-ES"/>
        </w:rPr>
      </w:pPr>
      <w:proofErr w:type="spellStart"/>
      <w:r>
        <w:rPr>
          <w:rFonts w:ascii="Arial" w:hAnsi="Arial" w:cs="Arial"/>
          <w:sz w:val="24"/>
          <w:szCs w:val="24"/>
          <w:lang w:val="es-ES"/>
        </w:rPr>
        <w:t>Privigen</w:t>
      </w:r>
      <w:proofErr w:type="spellEnd"/>
      <w:r>
        <w:rPr>
          <w:rFonts w:ascii="Arial" w:hAnsi="Arial" w:cs="Arial"/>
          <w:sz w:val="24"/>
          <w:szCs w:val="24"/>
          <w:lang w:val="es-ES"/>
        </w:rPr>
        <w:t xml:space="preserve"> no produce una activación no específica del sistema del complemento o de la </w:t>
      </w:r>
      <w:proofErr w:type="spellStart"/>
      <w:r>
        <w:rPr>
          <w:rFonts w:ascii="Arial" w:hAnsi="Arial" w:cs="Arial"/>
          <w:sz w:val="24"/>
          <w:szCs w:val="24"/>
          <w:lang w:val="es-ES"/>
        </w:rPr>
        <w:t>precalicreína</w:t>
      </w:r>
      <w:proofErr w:type="spellEnd"/>
      <w:r>
        <w:rPr>
          <w:rFonts w:ascii="Arial" w:hAnsi="Arial" w:cs="Arial"/>
          <w:sz w:val="24"/>
          <w:szCs w:val="24"/>
          <w:lang w:val="es-ES"/>
        </w:rPr>
        <w:t>.</w:t>
      </w:r>
    </w:p>
    <w:p w:rsidR="00936278" w:rsidRDefault="00936278" w:rsidP="00936278">
      <w:pPr>
        <w:rPr>
          <w:rFonts w:ascii="Arial" w:hAnsi="Arial" w:cs="Arial"/>
          <w:sz w:val="24"/>
          <w:szCs w:val="24"/>
          <w:lang w:val="es-ES"/>
        </w:rPr>
      </w:pPr>
      <w:r>
        <w:rPr>
          <w:rFonts w:ascii="Arial" w:hAnsi="Arial" w:cs="Arial"/>
          <w:sz w:val="24"/>
          <w:szCs w:val="24"/>
          <w:lang w:val="es-ES"/>
        </w:rPr>
        <w:lastRenderedPageBreak/>
        <w:t xml:space="preserve">El mecanismo de acción en otras indicaciones que la terapia de reemplazo no se ha aclarado completamente, pero incluye efectos </w:t>
      </w:r>
      <w:proofErr w:type="spellStart"/>
      <w:r>
        <w:rPr>
          <w:rFonts w:ascii="Arial" w:hAnsi="Arial" w:cs="Arial"/>
          <w:sz w:val="24"/>
          <w:szCs w:val="24"/>
          <w:lang w:val="es-ES"/>
        </w:rPr>
        <w:t>inmunomoduladores</w:t>
      </w:r>
      <w:proofErr w:type="spellEnd"/>
      <w:r>
        <w:rPr>
          <w:rFonts w:ascii="Arial" w:hAnsi="Arial" w:cs="Arial"/>
          <w:sz w:val="24"/>
          <w:szCs w:val="24"/>
          <w:lang w:val="es-ES"/>
        </w:rPr>
        <w:t>.</w:t>
      </w:r>
    </w:p>
    <w:p w:rsidR="00936278" w:rsidRDefault="00936278" w:rsidP="00936278">
      <w:pPr>
        <w:rPr>
          <w:rFonts w:ascii="Arial" w:hAnsi="Arial" w:cs="Arial"/>
          <w:b/>
          <w:bCs/>
          <w:sz w:val="24"/>
          <w:szCs w:val="24"/>
          <w:lang w:val="es-ES"/>
        </w:rPr>
      </w:pPr>
    </w:p>
    <w:p w:rsidR="00936278" w:rsidRDefault="00936278" w:rsidP="00936278">
      <w:pPr>
        <w:rPr>
          <w:rFonts w:ascii="Arial" w:hAnsi="Arial" w:cs="Arial"/>
          <w:b/>
          <w:bCs/>
          <w:sz w:val="24"/>
          <w:szCs w:val="24"/>
          <w:lang w:val="es-ES"/>
        </w:rPr>
      </w:pPr>
      <w:r>
        <w:rPr>
          <w:rFonts w:ascii="Arial" w:hAnsi="Arial" w:cs="Arial"/>
          <w:b/>
          <w:bCs/>
          <w:sz w:val="24"/>
          <w:szCs w:val="24"/>
          <w:lang w:val="es-ES"/>
        </w:rPr>
        <w:t>Eficacia clínica</w:t>
      </w:r>
    </w:p>
    <w:p w:rsidR="00936278" w:rsidRDefault="00936278" w:rsidP="00936278">
      <w:pPr>
        <w:rPr>
          <w:rFonts w:ascii="Arial" w:hAnsi="Arial" w:cs="Arial"/>
          <w:sz w:val="24"/>
          <w:szCs w:val="24"/>
          <w:lang w:val="es-ES"/>
        </w:rPr>
      </w:pPr>
      <w:r>
        <w:rPr>
          <w:rFonts w:ascii="Arial" w:hAnsi="Arial" w:cs="Arial"/>
          <w:sz w:val="24"/>
          <w:szCs w:val="24"/>
          <w:lang w:val="es-ES"/>
        </w:rPr>
        <w:t xml:space="preserve">La seguridad y la eficacia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se </w:t>
      </w:r>
      <w:proofErr w:type="gramStart"/>
      <w:r>
        <w:rPr>
          <w:rFonts w:ascii="Arial" w:hAnsi="Arial" w:cs="Arial"/>
          <w:sz w:val="24"/>
          <w:szCs w:val="24"/>
          <w:lang w:val="es-ES"/>
        </w:rPr>
        <w:t>investigó</w:t>
      </w:r>
      <w:proofErr w:type="gramEnd"/>
      <w:r>
        <w:rPr>
          <w:rFonts w:ascii="Arial" w:hAnsi="Arial" w:cs="Arial"/>
          <w:sz w:val="24"/>
          <w:szCs w:val="24"/>
          <w:lang w:val="es-ES"/>
        </w:rPr>
        <w:t xml:space="preserve"> en seis estudios </w:t>
      </w:r>
      <w:proofErr w:type="spellStart"/>
      <w:r>
        <w:rPr>
          <w:rFonts w:ascii="Arial" w:hAnsi="Arial" w:cs="Arial"/>
          <w:sz w:val="24"/>
          <w:szCs w:val="24"/>
          <w:lang w:val="es-ES"/>
        </w:rPr>
        <w:t>multicéntricos</w:t>
      </w:r>
      <w:proofErr w:type="spellEnd"/>
      <w:r>
        <w:rPr>
          <w:rFonts w:ascii="Arial" w:hAnsi="Arial" w:cs="Arial"/>
          <w:sz w:val="24"/>
          <w:szCs w:val="24"/>
          <w:lang w:val="es-ES"/>
        </w:rPr>
        <w:t xml:space="preserve">, prospectivos, abiertos y de un solo grupo que se realizaron en Europa (estudios PTI, IDP y PDIC) y en los Estados Unidos (estudio IDP). También se recopilaron otros datos sobre la seguridad y la eficacia en un estudio de extensión </w:t>
      </w:r>
      <w:proofErr w:type="spellStart"/>
      <w:r>
        <w:rPr>
          <w:rFonts w:ascii="Arial" w:hAnsi="Arial" w:cs="Arial"/>
          <w:sz w:val="24"/>
          <w:szCs w:val="24"/>
          <w:lang w:val="es-ES"/>
        </w:rPr>
        <w:t>multicéntrico</w:t>
      </w:r>
      <w:proofErr w:type="spellEnd"/>
      <w:r>
        <w:rPr>
          <w:rFonts w:ascii="Arial" w:hAnsi="Arial" w:cs="Arial"/>
          <w:sz w:val="24"/>
          <w:szCs w:val="24"/>
          <w:lang w:val="es-ES"/>
        </w:rPr>
        <w:t>, prospectivo, abierto y de un solo grupo que se llevó a cabo en pacientes de los Estados Unidos con inmunodeficiencia primaria.</w:t>
      </w:r>
    </w:p>
    <w:p w:rsidR="00936278" w:rsidRDefault="00936278" w:rsidP="00936278">
      <w:pPr>
        <w:rPr>
          <w:rFonts w:ascii="Arial" w:hAnsi="Arial" w:cs="Arial"/>
          <w:sz w:val="24"/>
          <w:szCs w:val="24"/>
          <w:lang w:val="es-ES"/>
        </w:rPr>
      </w:pPr>
      <w:r>
        <w:rPr>
          <w:rFonts w:ascii="Arial" w:hAnsi="Arial" w:cs="Arial"/>
          <w:sz w:val="24"/>
          <w:szCs w:val="24"/>
          <w:lang w:val="es-ES"/>
        </w:rPr>
        <w:t>IDP</w:t>
      </w:r>
    </w:p>
    <w:p w:rsidR="00936278" w:rsidRDefault="00936278" w:rsidP="00936278">
      <w:pPr>
        <w:rPr>
          <w:rFonts w:ascii="Arial" w:hAnsi="Arial" w:cs="Arial"/>
          <w:sz w:val="24"/>
          <w:szCs w:val="24"/>
          <w:lang w:val="es-ES"/>
        </w:rPr>
      </w:pPr>
      <w:r>
        <w:rPr>
          <w:rFonts w:ascii="Arial" w:hAnsi="Arial" w:cs="Arial"/>
          <w:sz w:val="24"/>
          <w:szCs w:val="24"/>
          <w:lang w:val="es-ES"/>
        </w:rPr>
        <w:t xml:space="preserve">En el estudio fundamental, 80 pacientes de edades comprendidas entre 3 y 69 años con IDP recibieron una infusión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a una dosis media de entre 200 y 888 mg/kg de peso corporal cada 3 a 4 semanas durante un período máximo de un año. </w:t>
      </w:r>
    </w:p>
    <w:p w:rsidR="00936278" w:rsidRDefault="00936278" w:rsidP="00936278">
      <w:pPr>
        <w:rPr>
          <w:rFonts w:ascii="Arial" w:hAnsi="Arial" w:cs="Arial"/>
          <w:sz w:val="24"/>
          <w:szCs w:val="24"/>
          <w:lang w:val="es-ES"/>
        </w:rPr>
      </w:pPr>
      <w:r>
        <w:rPr>
          <w:rFonts w:ascii="Arial" w:hAnsi="Arial" w:cs="Arial"/>
          <w:sz w:val="24"/>
          <w:szCs w:val="24"/>
          <w:lang w:val="es-ES"/>
        </w:rPr>
        <w:t xml:space="preserve">Con este tratamiento, se alcanzaron concentraciones mínimas constantes de </w:t>
      </w:r>
      <w:proofErr w:type="spellStart"/>
      <w:r>
        <w:rPr>
          <w:rFonts w:ascii="Arial" w:hAnsi="Arial" w:cs="Arial"/>
          <w:sz w:val="24"/>
          <w:szCs w:val="24"/>
          <w:lang w:val="es-ES"/>
        </w:rPr>
        <w:t>IgG</w:t>
      </w:r>
      <w:proofErr w:type="spellEnd"/>
      <w:r>
        <w:rPr>
          <w:rFonts w:ascii="Arial" w:hAnsi="Arial" w:cs="Arial"/>
          <w:sz w:val="24"/>
          <w:szCs w:val="24"/>
          <w:lang w:val="es-ES"/>
        </w:rPr>
        <w:t xml:space="preserve"> durante todo el período de tratamiento, y las concentraciones medias oscilaron entre 8.84 g/l a 10.27 g/l. La incidencia de infecciones bacterianas graves agudas fue de 0.08 por paciente por año (el límite máximo de confianza del 97.5% fue de 0.182).</w:t>
      </w:r>
    </w:p>
    <w:p w:rsidR="00936278" w:rsidRDefault="00936278" w:rsidP="00936278">
      <w:pPr>
        <w:rPr>
          <w:rFonts w:ascii="Arial" w:hAnsi="Arial" w:cs="Arial"/>
          <w:sz w:val="24"/>
          <w:szCs w:val="24"/>
          <w:lang w:val="es-ES"/>
        </w:rPr>
      </w:pPr>
      <w:r>
        <w:rPr>
          <w:rFonts w:ascii="Arial" w:hAnsi="Arial" w:cs="Arial"/>
          <w:sz w:val="24"/>
          <w:szCs w:val="24"/>
          <w:lang w:val="es-ES"/>
        </w:rPr>
        <w:t xml:space="preserve">Al igual que sucedió en el estudio fundamental, las dosis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se administraron en el estudio de extensión IDP a un total de 55 pacientes (de los cuales 45 ya habían sido tratados en el estudio fundamental y 10 eran pacientes recién reclutados). Los resultados del estudio fundamental se confirmaron para las concentraciones medias de </w:t>
      </w:r>
      <w:proofErr w:type="spellStart"/>
      <w:r>
        <w:rPr>
          <w:rFonts w:ascii="Arial" w:hAnsi="Arial" w:cs="Arial"/>
          <w:sz w:val="24"/>
          <w:szCs w:val="24"/>
          <w:lang w:val="es-ES"/>
        </w:rPr>
        <w:t>IgG</w:t>
      </w:r>
      <w:proofErr w:type="spellEnd"/>
      <w:r>
        <w:rPr>
          <w:rFonts w:ascii="Arial" w:hAnsi="Arial" w:cs="Arial"/>
          <w:sz w:val="24"/>
          <w:szCs w:val="24"/>
          <w:lang w:val="es-ES"/>
        </w:rPr>
        <w:t xml:space="preserve"> (entre 9.31 g/l a 11.15 g/l) y para el índice de infecciones bacterianas graves agudas (0.018 por paciente por año con un intervalo máximo de confianza del 97.5% de 0.098).</w:t>
      </w:r>
    </w:p>
    <w:p w:rsidR="00936278" w:rsidRDefault="00936278" w:rsidP="00936278">
      <w:pPr>
        <w:rPr>
          <w:rFonts w:ascii="Arial" w:hAnsi="Arial" w:cs="Arial"/>
          <w:sz w:val="24"/>
          <w:szCs w:val="24"/>
          <w:lang w:val="es-ES"/>
        </w:rPr>
      </w:pPr>
      <w:r>
        <w:rPr>
          <w:rFonts w:ascii="Arial" w:hAnsi="Arial" w:cs="Arial"/>
          <w:sz w:val="24"/>
          <w:szCs w:val="24"/>
          <w:lang w:val="es-ES"/>
        </w:rPr>
        <w:t>PTI</w:t>
      </w:r>
    </w:p>
    <w:p w:rsidR="00936278" w:rsidRDefault="00936278" w:rsidP="00936278">
      <w:pPr>
        <w:rPr>
          <w:rFonts w:ascii="Arial" w:hAnsi="Arial" w:cs="Arial"/>
          <w:sz w:val="24"/>
          <w:szCs w:val="24"/>
          <w:lang w:val="es-ES"/>
        </w:rPr>
      </w:pPr>
      <w:r>
        <w:rPr>
          <w:rFonts w:ascii="Arial" w:hAnsi="Arial" w:cs="Arial"/>
          <w:sz w:val="24"/>
          <w:szCs w:val="24"/>
          <w:lang w:val="es-ES"/>
        </w:rPr>
        <w:t xml:space="preserve">Un total de 57 pacientes de edades comprendidas entre 15 y 69 años con PTI crónica participaron en el estudio PTI. Su recuento inicial de plaquetas era de 20 × 109/l. Después de la administración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a una dosis de 1 g/kg de peso corporal durante dos días consecutivos, el recuento de plaquetas aumentó a por lo menos 50 × 109/l en los 7 días siguientes a la primera infusión en el 80.7% de los pacientes. En el 43% de los pacientes, este aumento se produjo después de un solo día, antes de la segunda infusión. El tiempo medio que transcurrió hasta alcanzar este recuento de plaquetas fue de 2.5 días. En los pacientes que respondieron al tratamiento, el recuento de plaquetas se mantuvo en un valor igual o superior a 50 × 109/l durante un período medio de 15.4 días.</w:t>
      </w:r>
    </w:p>
    <w:p w:rsidR="00936278" w:rsidRDefault="00936278" w:rsidP="00936278">
      <w:pPr>
        <w:rPr>
          <w:rFonts w:ascii="Arial" w:hAnsi="Arial" w:cs="Arial"/>
          <w:sz w:val="24"/>
          <w:szCs w:val="24"/>
          <w:lang w:val="es-ES"/>
        </w:rPr>
      </w:pPr>
      <w:r>
        <w:rPr>
          <w:rFonts w:ascii="Arial" w:hAnsi="Arial" w:cs="Arial"/>
          <w:sz w:val="24"/>
          <w:szCs w:val="24"/>
          <w:lang w:val="es-ES"/>
        </w:rPr>
        <w:t xml:space="preserve">En el segundo estudio de PTI en pacientes de entre 18 y 65 años de edad, en 42 sujetos (74%) el recuento de plaquetas aumentó por lo menos una vez </w:t>
      </w:r>
      <w:r>
        <w:rPr>
          <w:rFonts w:ascii="Arial" w:hAnsi="Arial" w:cs="Arial"/>
          <w:sz w:val="24"/>
          <w:szCs w:val="24"/>
          <w:lang w:val="es-ES"/>
        </w:rPr>
        <w:lastRenderedPageBreak/>
        <w:t xml:space="preserve">hasta ≥ 50 × 109/l durante los 6 días posteriores a la primera infusión, lo que estuvo bien dentro del rango esperado y resultó similar a las tasas de respuesta observadas con otras </w:t>
      </w:r>
      <w:proofErr w:type="spellStart"/>
      <w:r>
        <w:rPr>
          <w:rFonts w:ascii="Arial" w:hAnsi="Arial" w:cs="Arial"/>
          <w:sz w:val="24"/>
          <w:szCs w:val="24"/>
          <w:lang w:val="es-ES"/>
        </w:rPr>
        <w:t>IgIV</w:t>
      </w:r>
      <w:proofErr w:type="spellEnd"/>
      <w:r>
        <w:rPr>
          <w:rFonts w:ascii="Arial" w:hAnsi="Arial" w:cs="Arial"/>
          <w:sz w:val="24"/>
          <w:szCs w:val="24"/>
          <w:lang w:val="es-ES"/>
        </w:rPr>
        <w:t xml:space="preserve"> para esta indicación (70%). Una segunda dosis en sujetos con recuentos de plaquetas ≥ 50 × 109/l tras la primera dosis proporcionó un beneficio adicional relevante en términos de aumentos mayores y más duraderos en cuanto al recuento de plaquetas en comparación con una dosis única. En sujetos con recuentos de plaquetas &lt; 50 × 109/l el día 3 que recibieron la segunda infusión obligatoria, el valor más bajo de la mediana del recuento de plaquetas (8.0 × 109/l) se observó ya al inicio. En este grupo, tan solo se observó una respuesta plaquetaria en el 30% de los sujetos tras la segunda dosis obligatoria.</w:t>
      </w:r>
    </w:p>
    <w:p w:rsidR="00936278" w:rsidRDefault="00936278" w:rsidP="00936278">
      <w:pPr>
        <w:rPr>
          <w:rFonts w:ascii="Arial" w:hAnsi="Arial" w:cs="Arial"/>
          <w:sz w:val="24"/>
          <w:szCs w:val="24"/>
          <w:lang w:val="es-ES"/>
        </w:rPr>
      </w:pPr>
      <w:r>
        <w:rPr>
          <w:rFonts w:ascii="Arial" w:hAnsi="Arial" w:cs="Arial"/>
          <w:sz w:val="24"/>
          <w:szCs w:val="24"/>
          <w:lang w:val="es-ES"/>
        </w:rPr>
        <w:t>Por lo tanto, resultó más difícil aumentar el recuento de plaquetas con una infusión en estos sujetos.</w:t>
      </w:r>
    </w:p>
    <w:p w:rsidR="00936278" w:rsidRDefault="00936278" w:rsidP="00936278">
      <w:pPr>
        <w:rPr>
          <w:rFonts w:ascii="Arial" w:hAnsi="Arial" w:cs="Arial"/>
          <w:sz w:val="24"/>
          <w:szCs w:val="24"/>
          <w:lang w:val="es-ES"/>
        </w:rPr>
      </w:pPr>
      <w:r>
        <w:rPr>
          <w:rFonts w:ascii="Arial" w:hAnsi="Arial" w:cs="Arial"/>
          <w:sz w:val="24"/>
          <w:szCs w:val="24"/>
          <w:lang w:val="es-ES"/>
        </w:rPr>
        <w:t>PDIC</w:t>
      </w:r>
    </w:p>
    <w:p w:rsidR="00936278" w:rsidRDefault="00936278" w:rsidP="00936278">
      <w:pPr>
        <w:rPr>
          <w:rFonts w:ascii="Arial" w:hAnsi="Arial" w:cs="Arial"/>
          <w:sz w:val="24"/>
          <w:szCs w:val="24"/>
          <w:lang w:val="es-ES"/>
        </w:rPr>
      </w:pPr>
      <w:r>
        <w:rPr>
          <w:rFonts w:ascii="Arial" w:hAnsi="Arial" w:cs="Arial"/>
          <w:sz w:val="24"/>
          <w:szCs w:val="24"/>
          <w:lang w:val="es-ES"/>
        </w:rPr>
        <w:t xml:space="preserve">En el primer estudio de PDIC, el estudio PRIMA, un estudio </w:t>
      </w:r>
      <w:proofErr w:type="spellStart"/>
      <w:r>
        <w:rPr>
          <w:rFonts w:ascii="Arial" w:hAnsi="Arial" w:cs="Arial"/>
          <w:sz w:val="24"/>
          <w:szCs w:val="24"/>
          <w:lang w:val="es-ES"/>
        </w:rPr>
        <w:t>multicéntrico</w:t>
      </w:r>
      <w:proofErr w:type="spellEnd"/>
      <w:r>
        <w:rPr>
          <w:rFonts w:ascii="Arial" w:hAnsi="Arial" w:cs="Arial"/>
          <w:sz w:val="24"/>
          <w:szCs w:val="24"/>
          <w:lang w:val="es-ES"/>
        </w:rPr>
        <w:t xml:space="preserve">, prospectivo, de etiqueta a la vista (estudio sobre el impacto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en la movilidad y la autonomía), los 28 pacientes con PDIC (13 sujetos que habían recibido </w:t>
      </w:r>
      <w:proofErr w:type="spellStart"/>
      <w:r>
        <w:rPr>
          <w:rFonts w:ascii="Arial" w:hAnsi="Arial" w:cs="Arial"/>
          <w:sz w:val="24"/>
          <w:szCs w:val="24"/>
          <w:lang w:val="es-ES"/>
        </w:rPr>
        <w:t>IgIV</w:t>
      </w:r>
      <w:proofErr w:type="spellEnd"/>
      <w:r>
        <w:rPr>
          <w:rFonts w:ascii="Arial" w:hAnsi="Arial" w:cs="Arial"/>
          <w:sz w:val="24"/>
          <w:szCs w:val="24"/>
          <w:lang w:val="es-ES"/>
        </w:rPr>
        <w:t xml:space="preserve"> con anterioridad y 15 que no) fueron tratados con una dosis de carga de 2 g/kg de peso corporal, administrados durante un periodo de 2 a 5 días, seguida de 6 dosis de mantenimiento de 1 g/kg de peso corporal, durante 1–2 días cada tres semanas. Pacientes tratados previamente se les retiró la </w:t>
      </w:r>
      <w:proofErr w:type="spellStart"/>
      <w:r>
        <w:rPr>
          <w:rFonts w:ascii="Arial" w:hAnsi="Arial" w:cs="Arial"/>
          <w:sz w:val="24"/>
          <w:szCs w:val="24"/>
          <w:lang w:val="es-ES"/>
        </w:rPr>
        <w:t>IgIV</w:t>
      </w:r>
      <w:proofErr w:type="spellEnd"/>
      <w:r>
        <w:rPr>
          <w:rFonts w:ascii="Arial" w:hAnsi="Arial" w:cs="Arial"/>
          <w:sz w:val="24"/>
          <w:szCs w:val="24"/>
          <w:lang w:val="es-ES"/>
        </w:rPr>
        <w:t xml:space="preserve"> antes del tratamiento con </w:t>
      </w:r>
      <w:proofErr w:type="spellStart"/>
      <w:r>
        <w:rPr>
          <w:rFonts w:ascii="Arial" w:hAnsi="Arial" w:cs="Arial"/>
          <w:sz w:val="24"/>
          <w:szCs w:val="24"/>
          <w:lang w:val="es-ES"/>
        </w:rPr>
        <w:t>Privigen</w:t>
      </w:r>
      <w:proofErr w:type="spellEnd"/>
      <w:r>
        <w:rPr>
          <w:rFonts w:ascii="Arial" w:hAnsi="Arial" w:cs="Arial"/>
          <w:sz w:val="24"/>
          <w:szCs w:val="24"/>
          <w:lang w:val="es-ES"/>
        </w:rPr>
        <w:t xml:space="preserve"> hasta que el agravamiento de los síntomas clínicos fuera confirmado en base a la escala INCAT (Causa y Tratamiento de Neuropatía Inflamatoria, por sus siglas en inglés). En la escala ajustada de 10 puntos INCAT se observó una mejora clínicamente significativa de por lo menos 1 punto desde los valores iniciales hasta la semana de tratamiento 25 en 17 de los 28 pacientes. El índice de respuesta INCAT fue del 60.7% (intervalo de confianza del 95% [42.41, 76.4]). Después de recibir la dosis de inducción inicial 9 pacientes respondieron en la semana 4 y 16 pacientes respondieron en la semana 10.</w:t>
      </w:r>
    </w:p>
    <w:p w:rsidR="00936278" w:rsidRDefault="00936278" w:rsidP="00936278">
      <w:pPr>
        <w:rPr>
          <w:rFonts w:ascii="Arial" w:hAnsi="Arial" w:cs="Arial"/>
          <w:sz w:val="24"/>
          <w:szCs w:val="24"/>
          <w:lang w:val="es-ES"/>
        </w:rPr>
      </w:pPr>
      <w:r>
        <w:rPr>
          <w:rFonts w:ascii="Arial" w:hAnsi="Arial" w:cs="Arial"/>
          <w:sz w:val="24"/>
          <w:szCs w:val="24"/>
          <w:lang w:val="es-ES"/>
        </w:rPr>
        <w:t xml:space="preserve">En un segundo estudio clínico, prospectivo, </w:t>
      </w:r>
      <w:proofErr w:type="spellStart"/>
      <w:r>
        <w:rPr>
          <w:rFonts w:ascii="Arial" w:hAnsi="Arial" w:cs="Arial"/>
          <w:sz w:val="24"/>
          <w:szCs w:val="24"/>
          <w:lang w:val="es-ES"/>
        </w:rPr>
        <w:t>multicéntrico</w:t>
      </w:r>
      <w:proofErr w:type="spellEnd"/>
      <w:r>
        <w:rPr>
          <w:rFonts w:ascii="Arial" w:hAnsi="Arial" w:cs="Arial"/>
          <w:sz w:val="24"/>
          <w:szCs w:val="24"/>
          <w:lang w:val="es-ES"/>
        </w:rPr>
        <w:t>, aleatorizado, controlado con placebo PATH [</w:t>
      </w:r>
      <w:proofErr w:type="spellStart"/>
      <w:r>
        <w:rPr>
          <w:rFonts w:ascii="Arial" w:hAnsi="Arial" w:cs="Arial"/>
          <w:sz w:val="24"/>
          <w:szCs w:val="24"/>
          <w:lang w:val="es-ES"/>
        </w:rPr>
        <w:t>Polineuropatía</w:t>
      </w:r>
      <w:proofErr w:type="spellEnd"/>
      <w:r>
        <w:rPr>
          <w:rFonts w:ascii="Arial" w:hAnsi="Arial" w:cs="Arial"/>
          <w:sz w:val="24"/>
          <w:szCs w:val="24"/>
          <w:lang w:val="es-ES"/>
        </w:rPr>
        <w:t xml:space="preserve"> y tratamiento con </w:t>
      </w:r>
      <w:proofErr w:type="spellStart"/>
      <w:r>
        <w:rPr>
          <w:rFonts w:ascii="Arial" w:hAnsi="Arial" w:cs="Arial"/>
          <w:sz w:val="24"/>
          <w:szCs w:val="24"/>
          <w:lang w:val="es-ES"/>
        </w:rPr>
        <w:t>Hizentra</w:t>
      </w:r>
      <w:proofErr w:type="spellEnd"/>
      <w:r>
        <w:rPr>
          <w:rFonts w:ascii="Arial" w:hAnsi="Arial" w:cs="Arial"/>
          <w:sz w:val="24"/>
          <w:szCs w:val="24"/>
          <w:lang w:val="es-ES"/>
        </w:rPr>
        <w:t xml:space="preserve">], 207 sujetos con PDIC se trataron con </w:t>
      </w:r>
      <w:proofErr w:type="spellStart"/>
      <w:r>
        <w:rPr>
          <w:rFonts w:ascii="Arial" w:hAnsi="Arial" w:cs="Arial"/>
          <w:sz w:val="24"/>
          <w:szCs w:val="24"/>
          <w:lang w:val="es-ES"/>
        </w:rPr>
        <w:t>Privigen</w:t>
      </w:r>
      <w:proofErr w:type="spellEnd"/>
      <w:r>
        <w:rPr>
          <w:rFonts w:ascii="Arial" w:hAnsi="Arial" w:cs="Arial"/>
          <w:sz w:val="24"/>
          <w:szCs w:val="24"/>
          <w:lang w:val="es-ES"/>
        </w:rPr>
        <w:t xml:space="preserve"> en la fase previa a la aleatorización en el estudio. Todos los sujetos con tratamiento previo con </w:t>
      </w:r>
      <w:proofErr w:type="spellStart"/>
      <w:r>
        <w:rPr>
          <w:rFonts w:ascii="Arial" w:hAnsi="Arial" w:cs="Arial"/>
          <w:sz w:val="24"/>
          <w:szCs w:val="24"/>
          <w:lang w:val="es-ES"/>
        </w:rPr>
        <w:t>IgIV</w:t>
      </w:r>
      <w:proofErr w:type="spellEnd"/>
      <w:r>
        <w:rPr>
          <w:rFonts w:ascii="Arial" w:hAnsi="Arial" w:cs="Arial"/>
          <w:sz w:val="24"/>
          <w:szCs w:val="24"/>
          <w:lang w:val="es-ES"/>
        </w:rPr>
        <w:t xml:space="preserve">, durante por lo menos 8 semanas y una dependencia </w:t>
      </w:r>
      <w:proofErr w:type="spellStart"/>
      <w:r>
        <w:rPr>
          <w:rFonts w:ascii="Arial" w:hAnsi="Arial" w:cs="Arial"/>
          <w:sz w:val="24"/>
          <w:szCs w:val="24"/>
          <w:lang w:val="es-ES"/>
        </w:rPr>
        <w:t>IgIV</w:t>
      </w:r>
      <w:proofErr w:type="spellEnd"/>
      <w:r>
        <w:rPr>
          <w:rFonts w:ascii="Arial" w:hAnsi="Arial" w:cs="Arial"/>
          <w:sz w:val="24"/>
          <w:szCs w:val="24"/>
          <w:lang w:val="es-ES"/>
        </w:rPr>
        <w:t xml:space="preserve"> confirmada por un deterioro clínicamente evidente durante la fase de retiro de </w:t>
      </w:r>
      <w:proofErr w:type="spellStart"/>
      <w:r>
        <w:rPr>
          <w:rFonts w:ascii="Arial" w:hAnsi="Arial" w:cs="Arial"/>
          <w:sz w:val="24"/>
          <w:szCs w:val="24"/>
          <w:lang w:val="es-ES"/>
        </w:rPr>
        <w:t>IgIV</w:t>
      </w:r>
      <w:proofErr w:type="spellEnd"/>
      <w:r>
        <w:rPr>
          <w:rFonts w:ascii="Arial" w:hAnsi="Arial" w:cs="Arial"/>
          <w:sz w:val="24"/>
          <w:szCs w:val="24"/>
          <w:lang w:val="es-ES"/>
        </w:rPr>
        <w:t xml:space="preserve"> de hasta 12 semanas, recibieron una dosis de carga con </w:t>
      </w:r>
      <w:proofErr w:type="spellStart"/>
      <w:r>
        <w:rPr>
          <w:rFonts w:ascii="Arial" w:hAnsi="Arial" w:cs="Arial"/>
          <w:sz w:val="24"/>
          <w:szCs w:val="24"/>
          <w:lang w:val="es-ES"/>
        </w:rPr>
        <w:t>Privigen</w:t>
      </w:r>
      <w:proofErr w:type="spellEnd"/>
      <w:r>
        <w:rPr>
          <w:rFonts w:ascii="Arial" w:hAnsi="Arial" w:cs="Arial"/>
          <w:sz w:val="24"/>
          <w:szCs w:val="24"/>
          <w:lang w:val="es-ES"/>
        </w:rPr>
        <w:t xml:space="preserve"> de 2 g/kg pc, seguidos por hasta 4 dosis de mantenimiento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de 1 g/kg pc cada 3 semanas, durante hasta 13 semanas.</w:t>
      </w:r>
    </w:p>
    <w:p w:rsidR="00936278" w:rsidRDefault="00936278" w:rsidP="00936278">
      <w:pPr>
        <w:rPr>
          <w:rFonts w:ascii="Arial" w:hAnsi="Arial" w:cs="Arial"/>
          <w:sz w:val="24"/>
          <w:szCs w:val="24"/>
          <w:lang w:val="es-ES"/>
        </w:rPr>
      </w:pPr>
      <w:r>
        <w:rPr>
          <w:rFonts w:ascii="Arial" w:hAnsi="Arial" w:cs="Arial"/>
          <w:sz w:val="24"/>
          <w:szCs w:val="24"/>
          <w:lang w:val="es-ES"/>
        </w:rPr>
        <w:t xml:space="preserve">Luego del deterioro clínico durante el retiro de </w:t>
      </w:r>
      <w:proofErr w:type="spellStart"/>
      <w:r>
        <w:rPr>
          <w:rFonts w:ascii="Arial" w:hAnsi="Arial" w:cs="Arial"/>
          <w:sz w:val="24"/>
          <w:szCs w:val="24"/>
          <w:lang w:val="es-ES"/>
        </w:rPr>
        <w:t>IgIV</w:t>
      </w:r>
      <w:proofErr w:type="spellEnd"/>
      <w:r>
        <w:rPr>
          <w:rFonts w:ascii="Arial" w:hAnsi="Arial" w:cs="Arial"/>
          <w:sz w:val="24"/>
          <w:szCs w:val="24"/>
          <w:lang w:val="es-ES"/>
        </w:rPr>
        <w:t xml:space="preserve">, la mejora clínica de PDIC fue principalmente definida por una disminución de ≥ 1 punto en el puntaje INCAT ajustado. Medidas adicionales de la mejora de PDIC fueron un aumento de R-ODS de ≥ 4 puntos, un aumento medio de fuerza de agarre de ≥ 8 </w:t>
      </w:r>
      <w:proofErr w:type="spellStart"/>
      <w:r>
        <w:rPr>
          <w:rFonts w:ascii="Arial" w:hAnsi="Arial" w:cs="Arial"/>
          <w:sz w:val="24"/>
          <w:szCs w:val="24"/>
          <w:lang w:val="es-ES"/>
        </w:rPr>
        <w:t>kPa</w:t>
      </w:r>
      <w:proofErr w:type="spellEnd"/>
      <w:r>
        <w:rPr>
          <w:rFonts w:ascii="Arial" w:hAnsi="Arial" w:cs="Arial"/>
          <w:sz w:val="24"/>
          <w:szCs w:val="24"/>
          <w:lang w:val="es-ES"/>
        </w:rPr>
        <w:t xml:space="preserve">, o un aumento del total del puntaje de MRC de ≥ 3 puntos. En general, 91% de los </w:t>
      </w:r>
      <w:r>
        <w:rPr>
          <w:rFonts w:ascii="Arial" w:hAnsi="Arial" w:cs="Arial"/>
          <w:sz w:val="24"/>
          <w:szCs w:val="24"/>
          <w:lang w:val="es-ES"/>
        </w:rPr>
        <w:lastRenderedPageBreak/>
        <w:t>sujetos (188 pacientes) mostraron mejora en por lo menos uno estos criterios para la semana 13.</w:t>
      </w:r>
    </w:p>
    <w:p w:rsidR="00936278" w:rsidRDefault="00936278" w:rsidP="00936278">
      <w:pPr>
        <w:rPr>
          <w:rFonts w:ascii="Arial" w:hAnsi="Arial" w:cs="Arial"/>
          <w:sz w:val="24"/>
          <w:szCs w:val="24"/>
          <w:lang w:val="es-ES"/>
        </w:rPr>
      </w:pPr>
      <w:r>
        <w:rPr>
          <w:rFonts w:ascii="Arial" w:hAnsi="Arial" w:cs="Arial"/>
          <w:sz w:val="24"/>
          <w:szCs w:val="24"/>
          <w:lang w:val="es-ES"/>
        </w:rPr>
        <w:t>Según el puntaje INCAT ajustado, la tasa de respondedores para la semana 13 fue de 72.9% (151/207 pacientes), con 149 pacientes que ya respondían para la semana 10. Un total de 43 de los 207 pacientes alcanzaron un mejor estado de PDIC según lo evaluado con el puntaje INCAT ajustado en comparación con su estado de PDIC al ingresar al estudio.</w:t>
      </w:r>
    </w:p>
    <w:p w:rsidR="00936278" w:rsidRDefault="00936278" w:rsidP="00936278">
      <w:pPr>
        <w:rPr>
          <w:rFonts w:ascii="Arial" w:hAnsi="Arial" w:cs="Arial"/>
          <w:sz w:val="24"/>
          <w:szCs w:val="24"/>
          <w:lang w:val="es-ES"/>
        </w:rPr>
      </w:pPr>
      <w:r>
        <w:rPr>
          <w:rFonts w:ascii="Arial" w:hAnsi="Arial" w:cs="Arial"/>
          <w:sz w:val="24"/>
          <w:szCs w:val="24"/>
          <w:lang w:val="es-ES"/>
        </w:rPr>
        <w:t xml:space="preserve">La comparabilidad de las tasas de respuesta y de los puntajes medios INCAT ajustado para los sujetos tratados previamente con </w:t>
      </w:r>
      <w:proofErr w:type="spellStart"/>
      <w:r>
        <w:rPr>
          <w:rFonts w:ascii="Arial" w:hAnsi="Arial" w:cs="Arial"/>
          <w:sz w:val="24"/>
          <w:szCs w:val="24"/>
          <w:lang w:val="es-ES"/>
        </w:rPr>
        <w:t>IgIV</w:t>
      </w:r>
      <w:proofErr w:type="spellEnd"/>
      <w:r>
        <w:rPr>
          <w:rFonts w:ascii="Arial" w:hAnsi="Arial" w:cs="Arial"/>
          <w:sz w:val="24"/>
          <w:szCs w:val="24"/>
          <w:lang w:val="es-ES"/>
        </w:rPr>
        <w:t xml:space="preserve"> en ambos estudios, PRIMA y PATH, se detallan en la Figura 1 a continuación.</w:t>
      </w:r>
    </w:p>
    <w:p w:rsidR="00936278" w:rsidRDefault="00936278" w:rsidP="00936278">
      <w:pPr>
        <w:rPr>
          <w:rFonts w:ascii="Arial" w:hAnsi="Arial" w:cs="Arial"/>
          <w:sz w:val="24"/>
          <w:szCs w:val="24"/>
          <w:lang w:val="es-ES"/>
        </w:rPr>
      </w:pPr>
    </w:p>
    <w:p w:rsidR="00936278" w:rsidRDefault="00936278" w:rsidP="00936278">
      <w:pPr>
        <w:rPr>
          <w:rFonts w:ascii="Arial" w:hAnsi="Arial" w:cs="Arial"/>
          <w:sz w:val="24"/>
          <w:szCs w:val="24"/>
          <w:lang w:val="es-ES"/>
        </w:rPr>
      </w:pPr>
      <w:r>
        <w:rPr>
          <w:noProof/>
          <w:lang w:eastAsia="es-PY"/>
        </w:rPr>
        <w:drawing>
          <wp:anchor distT="0" distB="0" distL="114300" distR="114300" simplePos="0" relativeHeight="251658240" behindDoc="0" locked="0" layoutInCell="1" allowOverlap="1">
            <wp:simplePos x="0" y="0"/>
            <wp:positionH relativeFrom="column">
              <wp:posOffset>309245</wp:posOffset>
            </wp:positionH>
            <wp:positionV relativeFrom="paragraph">
              <wp:posOffset>127635</wp:posOffset>
            </wp:positionV>
            <wp:extent cx="4838700" cy="41338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700" cy="4133850"/>
                    </a:xfrm>
                    <a:prstGeom prst="rect">
                      <a:avLst/>
                    </a:prstGeom>
                    <a:noFill/>
                  </pic:spPr>
                </pic:pic>
              </a:graphicData>
            </a:graphic>
            <wp14:sizeRelH relativeFrom="page">
              <wp14:pctWidth>0</wp14:pctWidth>
            </wp14:sizeRelH>
            <wp14:sizeRelV relativeFrom="page">
              <wp14:pctHeight>0</wp14:pctHeight>
            </wp14:sizeRelV>
          </wp:anchor>
        </w:drawing>
      </w:r>
    </w:p>
    <w:p w:rsidR="00936278" w:rsidRDefault="00936278" w:rsidP="00936278">
      <w:pPr>
        <w:rPr>
          <w:rFonts w:ascii="Arial" w:hAnsi="Arial" w:cs="Arial"/>
          <w:sz w:val="24"/>
          <w:szCs w:val="24"/>
          <w:lang w:val="es-ES"/>
        </w:rPr>
      </w:pPr>
    </w:p>
    <w:p w:rsidR="00936278" w:rsidRDefault="00936278" w:rsidP="00936278">
      <w:pPr>
        <w:rPr>
          <w:rFonts w:ascii="Arial" w:hAnsi="Arial" w:cs="Arial"/>
          <w:sz w:val="24"/>
          <w:szCs w:val="24"/>
          <w:lang w:val="es-ES"/>
        </w:rPr>
      </w:pPr>
    </w:p>
    <w:p w:rsidR="00936278" w:rsidRDefault="00936278" w:rsidP="00936278">
      <w:pPr>
        <w:rPr>
          <w:rFonts w:ascii="Arial" w:hAnsi="Arial" w:cs="Arial"/>
          <w:sz w:val="24"/>
          <w:szCs w:val="24"/>
          <w:lang w:val="es-ES"/>
        </w:rPr>
      </w:pPr>
    </w:p>
    <w:p w:rsidR="00936278" w:rsidRDefault="00936278" w:rsidP="00936278">
      <w:pPr>
        <w:rPr>
          <w:rFonts w:ascii="Arial" w:hAnsi="Arial" w:cs="Arial"/>
          <w:sz w:val="24"/>
          <w:szCs w:val="24"/>
          <w:lang w:val="es-ES"/>
        </w:rPr>
      </w:pPr>
    </w:p>
    <w:p w:rsidR="00936278" w:rsidRDefault="00936278" w:rsidP="00936278">
      <w:pPr>
        <w:rPr>
          <w:rFonts w:ascii="Arial" w:hAnsi="Arial" w:cs="Arial"/>
          <w:sz w:val="24"/>
          <w:szCs w:val="24"/>
          <w:lang w:val="es-ES"/>
        </w:rPr>
      </w:pPr>
    </w:p>
    <w:p w:rsidR="00936278" w:rsidRDefault="00936278" w:rsidP="00936278">
      <w:pPr>
        <w:rPr>
          <w:rFonts w:ascii="Arial" w:hAnsi="Arial" w:cs="Arial"/>
          <w:sz w:val="24"/>
          <w:szCs w:val="24"/>
          <w:lang w:val="es-ES"/>
        </w:rPr>
      </w:pPr>
    </w:p>
    <w:p w:rsidR="00936278" w:rsidRDefault="00936278" w:rsidP="00936278">
      <w:pPr>
        <w:rPr>
          <w:rFonts w:ascii="Arial" w:hAnsi="Arial" w:cs="Arial"/>
          <w:sz w:val="24"/>
          <w:szCs w:val="24"/>
          <w:lang w:val="es-ES"/>
        </w:rPr>
      </w:pPr>
    </w:p>
    <w:p w:rsidR="00936278" w:rsidRDefault="00936278" w:rsidP="00936278">
      <w:pPr>
        <w:rPr>
          <w:rFonts w:ascii="Arial" w:hAnsi="Arial" w:cs="Arial"/>
          <w:sz w:val="24"/>
          <w:szCs w:val="24"/>
          <w:lang w:val="es-ES"/>
        </w:rPr>
      </w:pPr>
    </w:p>
    <w:p w:rsidR="00936278" w:rsidRDefault="00936278" w:rsidP="00936278">
      <w:pPr>
        <w:rPr>
          <w:rFonts w:ascii="Arial" w:hAnsi="Arial" w:cs="Arial"/>
          <w:sz w:val="24"/>
          <w:szCs w:val="24"/>
          <w:lang w:val="es-ES"/>
        </w:rPr>
      </w:pPr>
    </w:p>
    <w:p w:rsidR="00936278" w:rsidRDefault="00936278" w:rsidP="00936278">
      <w:pPr>
        <w:rPr>
          <w:rFonts w:ascii="Arial" w:hAnsi="Arial" w:cs="Arial"/>
          <w:sz w:val="24"/>
          <w:szCs w:val="24"/>
          <w:lang w:val="es-ES"/>
        </w:rPr>
      </w:pPr>
    </w:p>
    <w:p w:rsidR="00936278" w:rsidRDefault="00936278" w:rsidP="00936278">
      <w:pPr>
        <w:rPr>
          <w:rFonts w:ascii="Arial" w:hAnsi="Arial" w:cs="Arial"/>
          <w:sz w:val="24"/>
          <w:szCs w:val="24"/>
          <w:lang w:val="es-ES"/>
        </w:rPr>
      </w:pPr>
    </w:p>
    <w:p w:rsidR="00936278" w:rsidRDefault="00936278" w:rsidP="00936278">
      <w:pPr>
        <w:rPr>
          <w:rFonts w:ascii="Arial" w:hAnsi="Arial" w:cs="Arial"/>
          <w:sz w:val="24"/>
          <w:szCs w:val="24"/>
          <w:lang w:val="es-ES"/>
        </w:rPr>
      </w:pPr>
    </w:p>
    <w:p w:rsidR="00936278" w:rsidRDefault="00936278" w:rsidP="00936278">
      <w:pPr>
        <w:rPr>
          <w:rFonts w:ascii="Arial" w:hAnsi="Arial" w:cs="Arial"/>
          <w:sz w:val="24"/>
          <w:szCs w:val="24"/>
          <w:lang w:val="es-ES"/>
        </w:rPr>
      </w:pPr>
    </w:p>
    <w:p w:rsidR="00936278" w:rsidRDefault="00936278" w:rsidP="00936278">
      <w:pPr>
        <w:rPr>
          <w:rFonts w:ascii="Arial" w:hAnsi="Arial" w:cs="Arial"/>
          <w:sz w:val="24"/>
          <w:szCs w:val="24"/>
          <w:lang w:val="es-ES"/>
        </w:rPr>
      </w:pPr>
    </w:p>
    <w:p w:rsidR="00936278" w:rsidRDefault="00936278" w:rsidP="00936278">
      <w:pPr>
        <w:rPr>
          <w:rFonts w:ascii="Arial" w:hAnsi="Arial" w:cs="Arial"/>
          <w:sz w:val="24"/>
          <w:szCs w:val="24"/>
          <w:lang w:val="es-ES"/>
        </w:rPr>
      </w:pPr>
      <w:r>
        <w:rPr>
          <w:rFonts w:ascii="Arial" w:hAnsi="Arial" w:cs="Arial"/>
          <w:sz w:val="24"/>
          <w:szCs w:val="24"/>
          <w:lang w:val="es-ES"/>
        </w:rPr>
        <w:t xml:space="preserve">La mejora media al final del periodo de tratamiento comparada con la visita de referencia fue de 1.4 puntos en el estudio PRIMA (1.8 puntos en sujetos previamente tratados con </w:t>
      </w:r>
      <w:proofErr w:type="spellStart"/>
      <w:r>
        <w:rPr>
          <w:rFonts w:ascii="Arial" w:hAnsi="Arial" w:cs="Arial"/>
          <w:sz w:val="24"/>
          <w:szCs w:val="24"/>
          <w:lang w:val="es-ES"/>
        </w:rPr>
        <w:t>IgIV</w:t>
      </w:r>
      <w:proofErr w:type="spellEnd"/>
      <w:r>
        <w:rPr>
          <w:rFonts w:ascii="Arial" w:hAnsi="Arial" w:cs="Arial"/>
          <w:sz w:val="24"/>
          <w:szCs w:val="24"/>
          <w:lang w:val="es-ES"/>
        </w:rPr>
        <w:t>) y 1.2 puntos en el estudio PATH.</w:t>
      </w:r>
    </w:p>
    <w:p w:rsidR="00936278" w:rsidRDefault="00936278" w:rsidP="00936278">
      <w:pPr>
        <w:rPr>
          <w:rFonts w:ascii="Arial" w:hAnsi="Arial" w:cs="Arial"/>
          <w:sz w:val="24"/>
          <w:szCs w:val="24"/>
          <w:lang w:val="es-ES"/>
        </w:rPr>
      </w:pPr>
      <w:r>
        <w:rPr>
          <w:rFonts w:ascii="Arial" w:hAnsi="Arial" w:cs="Arial"/>
          <w:sz w:val="24"/>
          <w:szCs w:val="24"/>
          <w:lang w:val="es-ES"/>
        </w:rPr>
        <w:t xml:space="preserve">En PRIMA, el porcentaje de respondedores en el puntaje general del Consejo de Investigación Médica (MRC, por sus siglas en inglés) (definido como un aumento de ≥ 3 puntos) fue de 85% (87% en los no tratados con </w:t>
      </w:r>
      <w:proofErr w:type="spellStart"/>
      <w:r>
        <w:rPr>
          <w:rFonts w:ascii="Arial" w:hAnsi="Arial" w:cs="Arial"/>
          <w:sz w:val="24"/>
          <w:szCs w:val="24"/>
          <w:lang w:val="es-ES"/>
        </w:rPr>
        <w:t>IgIV</w:t>
      </w:r>
      <w:proofErr w:type="spellEnd"/>
      <w:r>
        <w:rPr>
          <w:rFonts w:ascii="Arial" w:hAnsi="Arial" w:cs="Arial"/>
          <w:sz w:val="24"/>
          <w:szCs w:val="24"/>
          <w:lang w:val="es-ES"/>
        </w:rPr>
        <w:t xml:space="preserve"> y 82% en los tratados previamente con </w:t>
      </w:r>
      <w:proofErr w:type="spellStart"/>
      <w:r>
        <w:rPr>
          <w:rFonts w:ascii="Arial" w:hAnsi="Arial" w:cs="Arial"/>
          <w:sz w:val="24"/>
          <w:szCs w:val="24"/>
          <w:lang w:val="es-ES"/>
        </w:rPr>
        <w:t>IgIV</w:t>
      </w:r>
      <w:proofErr w:type="spellEnd"/>
      <w:r>
        <w:rPr>
          <w:rFonts w:ascii="Arial" w:hAnsi="Arial" w:cs="Arial"/>
          <w:sz w:val="24"/>
          <w:szCs w:val="24"/>
          <w:lang w:val="es-ES"/>
        </w:rPr>
        <w:t>) y 57% en PATH.</w:t>
      </w:r>
    </w:p>
    <w:p w:rsidR="00936278" w:rsidRDefault="00936278" w:rsidP="00936278">
      <w:pPr>
        <w:rPr>
          <w:rFonts w:ascii="Arial" w:hAnsi="Arial" w:cs="Arial"/>
          <w:sz w:val="24"/>
          <w:szCs w:val="24"/>
          <w:lang w:val="es-ES"/>
        </w:rPr>
      </w:pPr>
      <w:r>
        <w:rPr>
          <w:rFonts w:ascii="Arial" w:hAnsi="Arial" w:cs="Arial"/>
          <w:sz w:val="24"/>
          <w:szCs w:val="24"/>
          <w:lang w:val="es-ES"/>
        </w:rPr>
        <w:t xml:space="preserve">La mediana general de tiempo a la primera respuesta de puntaje acumulado de MRC en el PRIMA fue de 6 semanas (6 semanas en los no tratados con </w:t>
      </w:r>
      <w:proofErr w:type="spellStart"/>
      <w:r>
        <w:rPr>
          <w:rFonts w:ascii="Arial" w:hAnsi="Arial" w:cs="Arial"/>
          <w:sz w:val="24"/>
          <w:szCs w:val="24"/>
          <w:lang w:val="es-ES"/>
        </w:rPr>
        <w:t>IgIV</w:t>
      </w:r>
      <w:proofErr w:type="spellEnd"/>
      <w:r>
        <w:rPr>
          <w:rFonts w:ascii="Arial" w:hAnsi="Arial" w:cs="Arial"/>
          <w:sz w:val="24"/>
          <w:szCs w:val="24"/>
          <w:lang w:val="es-ES"/>
        </w:rPr>
        <w:t xml:space="preserve"> y 3 semanas en los previamente tratados con </w:t>
      </w:r>
      <w:proofErr w:type="spellStart"/>
      <w:r>
        <w:rPr>
          <w:rFonts w:ascii="Arial" w:hAnsi="Arial" w:cs="Arial"/>
          <w:sz w:val="24"/>
          <w:szCs w:val="24"/>
          <w:lang w:val="es-ES"/>
        </w:rPr>
        <w:t>IgIV</w:t>
      </w:r>
      <w:proofErr w:type="spellEnd"/>
      <w:r>
        <w:rPr>
          <w:rFonts w:ascii="Arial" w:hAnsi="Arial" w:cs="Arial"/>
          <w:sz w:val="24"/>
          <w:szCs w:val="24"/>
          <w:lang w:val="es-ES"/>
        </w:rPr>
        <w:t xml:space="preserve">) y 9.3 semanas en el PATH. El puntaje acumulado de MRC, en PRIMA mejoró en 6.9 puntos (7.7 puntos para los no tratados con </w:t>
      </w:r>
      <w:proofErr w:type="spellStart"/>
      <w:r>
        <w:rPr>
          <w:rFonts w:ascii="Arial" w:hAnsi="Arial" w:cs="Arial"/>
          <w:sz w:val="24"/>
          <w:szCs w:val="24"/>
          <w:lang w:val="es-ES"/>
        </w:rPr>
        <w:t>IgIV</w:t>
      </w:r>
      <w:proofErr w:type="spellEnd"/>
      <w:r>
        <w:rPr>
          <w:rFonts w:ascii="Arial" w:hAnsi="Arial" w:cs="Arial"/>
          <w:sz w:val="24"/>
          <w:szCs w:val="24"/>
          <w:lang w:val="es-ES"/>
        </w:rPr>
        <w:t xml:space="preserve"> y 6.1 puntos en los tratados previamente con </w:t>
      </w:r>
      <w:proofErr w:type="spellStart"/>
      <w:r>
        <w:rPr>
          <w:rFonts w:ascii="Arial" w:hAnsi="Arial" w:cs="Arial"/>
          <w:sz w:val="24"/>
          <w:szCs w:val="24"/>
          <w:lang w:val="es-ES"/>
        </w:rPr>
        <w:t>IgIV</w:t>
      </w:r>
      <w:proofErr w:type="spellEnd"/>
      <w:r>
        <w:rPr>
          <w:rFonts w:ascii="Arial" w:hAnsi="Arial" w:cs="Arial"/>
          <w:sz w:val="24"/>
          <w:szCs w:val="24"/>
          <w:lang w:val="es-ES"/>
        </w:rPr>
        <w:t>) y en 3.6 puntos en PATH.</w:t>
      </w:r>
    </w:p>
    <w:p w:rsidR="00936278" w:rsidRDefault="00936278" w:rsidP="00936278">
      <w:pPr>
        <w:rPr>
          <w:rFonts w:ascii="Arial" w:hAnsi="Arial" w:cs="Arial"/>
          <w:sz w:val="24"/>
          <w:szCs w:val="24"/>
          <w:lang w:val="es-ES"/>
        </w:rPr>
      </w:pPr>
      <w:r>
        <w:rPr>
          <w:rFonts w:ascii="Arial" w:hAnsi="Arial" w:cs="Arial"/>
          <w:sz w:val="24"/>
          <w:szCs w:val="24"/>
          <w:lang w:val="es-ES"/>
        </w:rPr>
        <w:t xml:space="preserve">La fuerza de agarre de la mano dominante mejoró en 14.1 </w:t>
      </w:r>
      <w:proofErr w:type="spellStart"/>
      <w:r>
        <w:rPr>
          <w:rFonts w:ascii="Arial" w:hAnsi="Arial" w:cs="Arial"/>
          <w:sz w:val="24"/>
          <w:szCs w:val="24"/>
          <w:lang w:val="es-ES"/>
        </w:rPr>
        <w:t>kPa</w:t>
      </w:r>
      <w:proofErr w:type="spellEnd"/>
      <w:r>
        <w:rPr>
          <w:rFonts w:ascii="Arial" w:hAnsi="Arial" w:cs="Arial"/>
          <w:sz w:val="24"/>
          <w:szCs w:val="24"/>
          <w:lang w:val="es-ES"/>
        </w:rPr>
        <w:t xml:space="preserve"> (17.0 </w:t>
      </w:r>
      <w:proofErr w:type="spellStart"/>
      <w:r>
        <w:rPr>
          <w:rFonts w:ascii="Arial" w:hAnsi="Arial" w:cs="Arial"/>
          <w:sz w:val="24"/>
          <w:szCs w:val="24"/>
          <w:lang w:val="es-ES"/>
        </w:rPr>
        <w:t>kPa</w:t>
      </w:r>
      <w:proofErr w:type="spellEnd"/>
      <w:r>
        <w:rPr>
          <w:rFonts w:ascii="Arial" w:hAnsi="Arial" w:cs="Arial"/>
          <w:sz w:val="24"/>
          <w:szCs w:val="24"/>
          <w:lang w:val="es-ES"/>
        </w:rPr>
        <w:t xml:space="preserve"> en los sujetos no tratados con </w:t>
      </w:r>
      <w:proofErr w:type="spellStart"/>
      <w:r>
        <w:rPr>
          <w:rFonts w:ascii="Arial" w:hAnsi="Arial" w:cs="Arial"/>
          <w:sz w:val="24"/>
          <w:szCs w:val="24"/>
          <w:lang w:val="es-ES"/>
        </w:rPr>
        <w:t>IgIV</w:t>
      </w:r>
      <w:proofErr w:type="spellEnd"/>
      <w:r>
        <w:rPr>
          <w:rFonts w:ascii="Arial" w:hAnsi="Arial" w:cs="Arial"/>
          <w:sz w:val="24"/>
          <w:szCs w:val="24"/>
          <w:lang w:val="es-ES"/>
        </w:rPr>
        <w:t xml:space="preserve"> y 10.8 </w:t>
      </w:r>
      <w:proofErr w:type="spellStart"/>
      <w:r>
        <w:rPr>
          <w:rFonts w:ascii="Arial" w:hAnsi="Arial" w:cs="Arial"/>
          <w:sz w:val="24"/>
          <w:szCs w:val="24"/>
          <w:lang w:val="es-ES"/>
        </w:rPr>
        <w:t>kPa</w:t>
      </w:r>
      <w:proofErr w:type="spellEnd"/>
      <w:r>
        <w:rPr>
          <w:rFonts w:ascii="Arial" w:hAnsi="Arial" w:cs="Arial"/>
          <w:sz w:val="24"/>
          <w:szCs w:val="24"/>
          <w:lang w:val="es-ES"/>
        </w:rPr>
        <w:t xml:space="preserve"> en los tratados previamente con </w:t>
      </w:r>
      <w:proofErr w:type="spellStart"/>
      <w:r>
        <w:rPr>
          <w:rFonts w:ascii="Arial" w:hAnsi="Arial" w:cs="Arial"/>
          <w:sz w:val="24"/>
          <w:szCs w:val="24"/>
          <w:lang w:val="es-ES"/>
        </w:rPr>
        <w:t>IgIV</w:t>
      </w:r>
      <w:proofErr w:type="spellEnd"/>
      <w:r>
        <w:rPr>
          <w:rFonts w:ascii="Arial" w:hAnsi="Arial" w:cs="Arial"/>
          <w:sz w:val="24"/>
          <w:szCs w:val="24"/>
          <w:lang w:val="es-ES"/>
        </w:rPr>
        <w:t xml:space="preserve">) en el estudio PRIMA, mientras que en el PATH la fuerza de agarre de la mano dominante mejoró en 12.2 </w:t>
      </w:r>
      <w:proofErr w:type="spellStart"/>
      <w:r>
        <w:rPr>
          <w:rFonts w:ascii="Arial" w:hAnsi="Arial" w:cs="Arial"/>
          <w:sz w:val="24"/>
          <w:szCs w:val="24"/>
          <w:lang w:val="es-ES"/>
        </w:rPr>
        <w:t>kPa</w:t>
      </w:r>
      <w:proofErr w:type="spellEnd"/>
      <w:r>
        <w:rPr>
          <w:rFonts w:ascii="Arial" w:hAnsi="Arial" w:cs="Arial"/>
          <w:sz w:val="24"/>
          <w:szCs w:val="24"/>
          <w:lang w:val="es-ES"/>
        </w:rPr>
        <w:t>. Para la mano no dominante se observaron resultados similares en ambos estudios, PRIMA y PATH.</w:t>
      </w:r>
    </w:p>
    <w:p w:rsidR="00936278" w:rsidRDefault="00936278" w:rsidP="00936278">
      <w:pPr>
        <w:rPr>
          <w:rFonts w:ascii="Arial" w:hAnsi="Arial" w:cs="Arial"/>
          <w:sz w:val="24"/>
          <w:szCs w:val="24"/>
          <w:lang w:val="es-ES"/>
        </w:rPr>
      </w:pPr>
      <w:r>
        <w:rPr>
          <w:rFonts w:ascii="Arial" w:hAnsi="Arial" w:cs="Arial"/>
          <w:sz w:val="24"/>
          <w:szCs w:val="24"/>
          <w:lang w:val="es-ES"/>
        </w:rPr>
        <w:t>En los estudios PRIMA y PATH, el perfil de eficacia y seguridad en los pacientes con PDIC fue comparable en general.</w:t>
      </w:r>
    </w:p>
    <w:p w:rsidR="00936278" w:rsidRDefault="00936278" w:rsidP="00936278">
      <w:pPr>
        <w:rPr>
          <w:rFonts w:ascii="Arial" w:hAnsi="Arial" w:cs="Arial"/>
          <w:sz w:val="24"/>
          <w:szCs w:val="24"/>
          <w:lang w:val="es-ES"/>
        </w:rPr>
      </w:pPr>
    </w:p>
    <w:p w:rsidR="00936278" w:rsidRDefault="00936278" w:rsidP="00936278">
      <w:pPr>
        <w:rPr>
          <w:rFonts w:ascii="Arial" w:hAnsi="Arial" w:cs="Arial"/>
          <w:b/>
          <w:sz w:val="24"/>
          <w:szCs w:val="24"/>
          <w:lang w:val="es-ES"/>
        </w:rPr>
      </w:pPr>
      <w:r>
        <w:rPr>
          <w:rFonts w:ascii="Arial" w:hAnsi="Arial" w:cs="Arial"/>
          <w:b/>
          <w:sz w:val="24"/>
          <w:szCs w:val="24"/>
          <w:lang w:val="es-ES"/>
        </w:rPr>
        <w:t xml:space="preserve">Propiedades farmacocinéticas: </w:t>
      </w:r>
    </w:p>
    <w:p w:rsidR="00936278" w:rsidRDefault="00936278" w:rsidP="00936278">
      <w:pPr>
        <w:rPr>
          <w:rFonts w:ascii="Arial" w:hAnsi="Arial" w:cs="Arial"/>
          <w:sz w:val="24"/>
          <w:szCs w:val="24"/>
          <w:lang w:val="es-ES"/>
        </w:rPr>
      </w:pPr>
      <w:proofErr w:type="spellStart"/>
      <w:r>
        <w:rPr>
          <w:rFonts w:ascii="Arial" w:hAnsi="Arial" w:cs="Arial"/>
          <w:sz w:val="24"/>
          <w:szCs w:val="24"/>
          <w:lang w:val="es-ES"/>
        </w:rPr>
        <w:t>Privigen</w:t>
      </w:r>
      <w:proofErr w:type="spellEnd"/>
      <w:r>
        <w:rPr>
          <w:rFonts w:ascii="Arial" w:hAnsi="Arial" w:cs="Arial"/>
          <w:sz w:val="24"/>
          <w:szCs w:val="24"/>
          <w:lang w:val="es-ES"/>
        </w:rPr>
        <w:t xml:space="preserve"> está, inmediata y completamente, biodisponible en la circulación del receptor después de la administración intravenosa. Se distribuye de forma relativamente rápida entre el plasma y el líquido extravascular, y el equilibrio entre los compartimentos </w:t>
      </w:r>
      <w:proofErr w:type="spellStart"/>
      <w:r>
        <w:rPr>
          <w:rFonts w:ascii="Arial" w:hAnsi="Arial" w:cs="Arial"/>
          <w:sz w:val="24"/>
          <w:szCs w:val="24"/>
          <w:lang w:val="es-ES"/>
        </w:rPr>
        <w:t>intravascular</w:t>
      </w:r>
      <w:proofErr w:type="spellEnd"/>
      <w:r>
        <w:rPr>
          <w:rFonts w:ascii="Arial" w:hAnsi="Arial" w:cs="Arial"/>
          <w:sz w:val="24"/>
          <w:szCs w:val="24"/>
          <w:lang w:val="es-ES"/>
        </w:rPr>
        <w:t xml:space="preserve"> y extravascular se alcanza después de aproximadamente tres a cinco días.</w:t>
      </w:r>
    </w:p>
    <w:p w:rsidR="00936278" w:rsidRDefault="00936278" w:rsidP="00936278">
      <w:pPr>
        <w:rPr>
          <w:rFonts w:ascii="Arial" w:hAnsi="Arial" w:cs="Arial"/>
          <w:sz w:val="24"/>
          <w:szCs w:val="24"/>
          <w:lang w:val="es-ES"/>
        </w:rPr>
      </w:pPr>
      <w:r>
        <w:rPr>
          <w:rFonts w:ascii="Arial" w:hAnsi="Arial" w:cs="Arial"/>
          <w:sz w:val="24"/>
          <w:szCs w:val="24"/>
          <w:lang w:val="es-ES"/>
        </w:rPr>
        <w:t xml:space="preserve">La </w:t>
      </w:r>
      <w:proofErr w:type="spellStart"/>
      <w:r>
        <w:rPr>
          <w:rFonts w:ascii="Arial" w:hAnsi="Arial" w:cs="Arial"/>
          <w:sz w:val="24"/>
          <w:szCs w:val="24"/>
          <w:lang w:val="es-ES"/>
        </w:rPr>
        <w:t>IgG</w:t>
      </w:r>
      <w:proofErr w:type="spellEnd"/>
      <w:r>
        <w:rPr>
          <w:rFonts w:ascii="Arial" w:hAnsi="Arial" w:cs="Arial"/>
          <w:sz w:val="24"/>
          <w:szCs w:val="24"/>
          <w:lang w:val="es-ES"/>
        </w:rPr>
        <w:t xml:space="preserve"> y los complejos </w:t>
      </w:r>
      <w:proofErr w:type="spellStart"/>
      <w:r>
        <w:rPr>
          <w:rFonts w:ascii="Arial" w:hAnsi="Arial" w:cs="Arial"/>
          <w:sz w:val="24"/>
          <w:szCs w:val="24"/>
          <w:lang w:val="es-ES"/>
        </w:rPr>
        <w:t>IgG</w:t>
      </w:r>
      <w:proofErr w:type="spellEnd"/>
      <w:r>
        <w:rPr>
          <w:rFonts w:ascii="Arial" w:hAnsi="Arial" w:cs="Arial"/>
          <w:sz w:val="24"/>
          <w:szCs w:val="24"/>
          <w:lang w:val="es-ES"/>
        </w:rPr>
        <w:t xml:space="preserve"> se degradan en las células del sistema retículo endotelial. La vida media podrá variar entre los pacientes.</w:t>
      </w:r>
    </w:p>
    <w:p w:rsidR="00936278" w:rsidRDefault="00936278" w:rsidP="00936278">
      <w:pPr>
        <w:rPr>
          <w:rFonts w:ascii="Arial" w:hAnsi="Arial" w:cs="Arial"/>
          <w:sz w:val="24"/>
          <w:szCs w:val="24"/>
          <w:lang w:val="es-ES"/>
        </w:rPr>
      </w:pPr>
      <w:r>
        <w:rPr>
          <w:rFonts w:ascii="Arial" w:hAnsi="Arial" w:cs="Arial"/>
          <w:sz w:val="24"/>
          <w:szCs w:val="24"/>
          <w:lang w:val="es-ES"/>
        </w:rPr>
        <w:lastRenderedPageBreak/>
        <w:t xml:space="preserve">Los parámetros </w:t>
      </w:r>
      <w:proofErr w:type="spellStart"/>
      <w:r>
        <w:rPr>
          <w:rFonts w:ascii="Arial" w:hAnsi="Arial" w:cs="Arial"/>
          <w:sz w:val="24"/>
          <w:szCs w:val="24"/>
          <w:lang w:val="es-ES"/>
        </w:rPr>
        <w:t>farmacocinéticos</w:t>
      </w:r>
      <w:proofErr w:type="spellEnd"/>
      <w:r>
        <w:rPr>
          <w:rFonts w:ascii="Arial" w:hAnsi="Arial" w:cs="Arial"/>
          <w:sz w:val="24"/>
          <w:szCs w:val="24"/>
          <w:lang w:val="es-ES"/>
        </w:rPr>
        <w:t xml:space="preserve">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se determinaron en los dos estudios clínicos en pacientes con síndrome de inmunodeficiencia primaria (ver también la sección «Propiedades/Efectos»). 25 pacientes (de edades comprendidas entre 13 a 69 años) del estudio fundamental y 13 pacientes (de edades comprendidas entre 9 a 59 años) en una extensión de este estudio participaron en la evaluación farmacocinética (ver la tabla siguiente).</w:t>
      </w:r>
    </w:p>
    <w:p w:rsidR="00936278" w:rsidRDefault="00936278" w:rsidP="00936278">
      <w:pPr>
        <w:rPr>
          <w:rFonts w:ascii="Arial" w:hAnsi="Arial" w:cs="Arial"/>
          <w:b/>
          <w:bCs/>
          <w:sz w:val="24"/>
          <w:szCs w:val="24"/>
          <w:lang w:val="es-ES"/>
        </w:rPr>
      </w:pPr>
    </w:p>
    <w:p w:rsidR="00936278" w:rsidRDefault="00936278" w:rsidP="00936278">
      <w:pPr>
        <w:rPr>
          <w:rFonts w:ascii="Arial" w:hAnsi="Arial" w:cs="Arial"/>
          <w:b/>
          <w:bCs/>
          <w:sz w:val="24"/>
          <w:szCs w:val="24"/>
          <w:lang w:val="es-ES"/>
        </w:rPr>
      </w:pPr>
      <w:r>
        <w:rPr>
          <w:rFonts w:ascii="Arial" w:hAnsi="Arial" w:cs="Arial"/>
          <w:b/>
          <w:bCs/>
          <w:sz w:val="24"/>
          <w:szCs w:val="24"/>
          <w:lang w:val="es-ES"/>
        </w:rPr>
        <w:t xml:space="preserve">Parámetros </w:t>
      </w:r>
      <w:proofErr w:type="spellStart"/>
      <w:r>
        <w:rPr>
          <w:rFonts w:ascii="Arial" w:hAnsi="Arial" w:cs="Arial"/>
          <w:b/>
          <w:bCs/>
          <w:sz w:val="24"/>
          <w:szCs w:val="24"/>
          <w:lang w:val="es-ES"/>
        </w:rPr>
        <w:t>farmacocinéticos</w:t>
      </w:r>
      <w:proofErr w:type="spellEnd"/>
      <w:r>
        <w:rPr>
          <w:rFonts w:ascii="Arial" w:hAnsi="Arial" w:cs="Arial"/>
          <w:b/>
          <w:bCs/>
          <w:sz w:val="24"/>
          <w:szCs w:val="24"/>
          <w:lang w:val="es-ES"/>
        </w:rPr>
        <w:t xml:space="preserve"> de </w:t>
      </w:r>
      <w:proofErr w:type="spellStart"/>
      <w:r>
        <w:rPr>
          <w:rFonts w:ascii="Arial" w:hAnsi="Arial" w:cs="Arial"/>
          <w:b/>
          <w:bCs/>
          <w:sz w:val="24"/>
          <w:szCs w:val="24"/>
          <w:lang w:val="es-ES"/>
        </w:rPr>
        <w:t>Privigen</w:t>
      </w:r>
      <w:proofErr w:type="spellEnd"/>
      <w:r>
        <w:rPr>
          <w:rFonts w:ascii="Arial" w:hAnsi="Arial" w:cs="Arial"/>
          <w:b/>
          <w:bCs/>
          <w:sz w:val="24"/>
          <w:szCs w:val="24"/>
          <w:lang w:val="es-ES"/>
        </w:rPr>
        <w:t xml:space="preserve"> en pacientes con síndrome de inmunodeficiencia primaria</w:t>
      </w:r>
    </w:p>
    <w:tbl>
      <w:tblPr>
        <w:tblStyle w:val="Tablaconcuadrcula"/>
        <w:tblW w:w="0" w:type="auto"/>
        <w:tblInd w:w="0" w:type="dxa"/>
        <w:tblLook w:val="04A0" w:firstRow="1" w:lastRow="0" w:firstColumn="1" w:lastColumn="0" w:noHBand="0" w:noVBand="1"/>
      </w:tblPr>
      <w:tblGrid>
        <w:gridCol w:w="2889"/>
        <w:gridCol w:w="2843"/>
        <w:gridCol w:w="2762"/>
      </w:tblGrid>
      <w:tr w:rsidR="00936278" w:rsidTr="00936278">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b/>
                <w:bCs/>
                <w:sz w:val="24"/>
                <w:szCs w:val="24"/>
              </w:rPr>
              <w:t>Parámetro</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b/>
                <w:bCs/>
                <w:sz w:val="24"/>
                <w:szCs w:val="24"/>
              </w:rPr>
              <w:t>Estudio fundamental (N=25) Media (intervalo)</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76" w:lineRule="auto"/>
              <w:rPr>
                <w:rFonts w:ascii="Arial" w:hAnsi="Arial" w:cs="Arial"/>
                <w:b/>
                <w:bCs/>
                <w:sz w:val="24"/>
                <w:szCs w:val="24"/>
              </w:rPr>
            </w:pPr>
            <w:r>
              <w:rPr>
                <w:rFonts w:ascii="Arial" w:hAnsi="Arial" w:cs="Arial"/>
                <w:b/>
                <w:bCs/>
                <w:sz w:val="24"/>
                <w:szCs w:val="24"/>
              </w:rPr>
              <w:t>Estudio de extensión (N=13)</w:t>
            </w:r>
          </w:p>
          <w:p w:rsidR="00936278" w:rsidRDefault="00936278">
            <w:pPr>
              <w:spacing w:line="276" w:lineRule="auto"/>
              <w:rPr>
                <w:rFonts w:ascii="Arial" w:hAnsi="Arial" w:cs="Arial"/>
                <w:b/>
                <w:bCs/>
                <w:sz w:val="24"/>
                <w:szCs w:val="24"/>
              </w:rPr>
            </w:pPr>
            <w:r>
              <w:rPr>
                <w:rFonts w:ascii="Arial" w:hAnsi="Arial" w:cs="Arial"/>
                <w:b/>
                <w:bCs/>
                <w:sz w:val="24"/>
                <w:szCs w:val="24"/>
              </w:rPr>
              <w:t>Media (intervalo)</w:t>
            </w:r>
          </w:p>
        </w:tc>
      </w:tr>
      <w:tr w:rsidR="00936278" w:rsidTr="00936278">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proofErr w:type="spellStart"/>
            <w:r>
              <w:rPr>
                <w:rFonts w:ascii="Arial" w:hAnsi="Arial" w:cs="Arial"/>
                <w:sz w:val="24"/>
                <w:szCs w:val="24"/>
              </w:rPr>
              <w:t>Cmax</w:t>
            </w:r>
            <w:proofErr w:type="spellEnd"/>
            <w:r>
              <w:rPr>
                <w:rFonts w:ascii="Arial" w:hAnsi="Arial" w:cs="Arial"/>
                <w:sz w:val="24"/>
                <w:szCs w:val="24"/>
              </w:rPr>
              <w:t xml:space="preserve"> (concentración pico) en g/l</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23.4 (10.4–34.6) </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26.3 (20.9–32.9)</w:t>
            </w:r>
          </w:p>
        </w:tc>
      </w:tr>
      <w:tr w:rsidR="00936278" w:rsidTr="00936278">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proofErr w:type="spellStart"/>
            <w:r>
              <w:rPr>
                <w:rFonts w:ascii="Arial" w:hAnsi="Arial" w:cs="Arial"/>
                <w:sz w:val="24"/>
                <w:szCs w:val="24"/>
              </w:rPr>
              <w:t>Cmin</w:t>
            </w:r>
            <w:proofErr w:type="spellEnd"/>
            <w:r>
              <w:rPr>
                <w:rFonts w:ascii="Arial" w:hAnsi="Arial" w:cs="Arial"/>
                <w:sz w:val="24"/>
                <w:szCs w:val="24"/>
              </w:rPr>
              <w:t xml:space="preserve"> (concentración mínima) en g/l</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10.2 (5.8–14.7) </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9.75 (5.72–18.01)</w:t>
            </w:r>
          </w:p>
        </w:tc>
      </w:tr>
      <w:tr w:rsidR="00936278" w:rsidTr="00936278">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t½ (semivida) en días </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36.6 (20.6–96.6) </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31.1 (14.6–43.6)</w:t>
            </w:r>
          </w:p>
        </w:tc>
      </w:tr>
    </w:tbl>
    <w:p w:rsidR="00936278" w:rsidRDefault="00936278" w:rsidP="00936278">
      <w:pPr>
        <w:rPr>
          <w:rFonts w:ascii="Arial" w:hAnsi="Arial" w:cs="Arial"/>
          <w:sz w:val="24"/>
          <w:szCs w:val="24"/>
          <w:lang w:val="es-ES"/>
        </w:rPr>
      </w:pPr>
      <w:proofErr w:type="spellStart"/>
      <w:r>
        <w:rPr>
          <w:rFonts w:ascii="Arial" w:hAnsi="Arial" w:cs="Arial"/>
          <w:sz w:val="24"/>
          <w:szCs w:val="24"/>
          <w:lang w:val="es-ES"/>
        </w:rPr>
        <w:t>Cmax</w:t>
      </w:r>
      <w:proofErr w:type="spellEnd"/>
      <w:r>
        <w:rPr>
          <w:rFonts w:ascii="Arial" w:hAnsi="Arial" w:cs="Arial"/>
          <w:sz w:val="24"/>
          <w:szCs w:val="24"/>
          <w:lang w:val="es-ES"/>
        </w:rPr>
        <w:t xml:space="preserve">, concentración sérica máxima; </w:t>
      </w:r>
      <w:proofErr w:type="spellStart"/>
      <w:r>
        <w:rPr>
          <w:rFonts w:ascii="Arial" w:hAnsi="Arial" w:cs="Arial"/>
          <w:sz w:val="24"/>
          <w:szCs w:val="24"/>
          <w:lang w:val="es-ES"/>
        </w:rPr>
        <w:t>Cmin</w:t>
      </w:r>
      <w:proofErr w:type="spellEnd"/>
      <w:r>
        <w:rPr>
          <w:rFonts w:ascii="Arial" w:hAnsi="Arial" w:cs="Arial"/>
          <w:sz w:val="24"/>
          <w:szCs w:val="24"/>
          <w:lang w:val="es-ES"/>
        </w:rPr>
        <w:t>, concentración sérica valle (nivel mínimo); t½, semivida de eliminación.</w:t>
      </w:r>
    </w:p>
    <w:p w:rsidR="00936278" w:rsidRDefault="00936278" w:rsidP="00936278">
      <w:pPr>
        <w:rPr>
          <w:rFonts w:ascii="Arial" w:hAnsi="Arial" w:cs="Arial"/>
          <w:sz w:val="24"/>
          <w:szCs w:val="24"/>
          <w:lang w:val="es-ES"/>
        </w:rPr>
      </w:pPr>
    </w:p>
    <w:p w:rsidR="00936278" w:rsidRDefault="00936278" w:rsidP="00936278">
      <w:pPr>
        <w:rPr>
          <w:rFonts w:ascii="Arial" w:hAnsi="Arial" w:cs="Arial"/>
          <w:sz w:val="24"/>
          <w:szCs w:val="24"/>
          <w:lang w:val="es-ES"/>
        </w:rPr>
      </w:pPr>
      <w:r>
        <w:rPr>
          <w:rFonts w:ascii="Arial" w:hAnsi="Arial" w:cs="Arial"/>
          <w:sz w:val="24"/>
          <w:szCs w:val="24"/>
          <w:lang w:val="es-ES"/>
        </w:rPr>
        <w:t xml:space="preserve">En el estudio fundamental la vida media mediana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en pacientes con una inmunodeficiencia primaria fue de 36.6 días y, en la extensión de este estudio, de 31.1 días.</w:t>
      </w:r>
    </w:p>
    <w:p w:rsidR="00936278" w:rsidRDefault="00936278" w:rsidP="00936278">
      <w:pPr>
        <w:rPr>
          <w:rFonts w:ascii="Arial" w:hAnsi="Arial" w:cs="Arial"/>
          <w:b/>
          <w:bCs/>
          <w:sz w:val="24"/>
          <w:szCs w:val="24"/>
          <w:lang w:val="es-ES"/>
        </w:rPr>
      </w:pPr>
      <w:r>
        <w:rPr>
          <w:rFonts w:ascii="Arial" w:hAnsi="Arial" w:cs="Arial"/>
          <w:b/>
          <w:bCs/>
          <w:sz w:val="24"/>
          <w:szCs w:val="24"/>
          <w:lang w:val="es-ES"/>
        </w:rPr>
        <w:t>Población pediátrica</w:t>
      </w:r>
    </w:p>
    <w:p w:rsidR="00936278" w:rsidRDefault="00936278" w:rsidP="00936278">
      <w:pPr>
        <w:rPr>
          <w:rFonts w:ascii="Arial" w:hAnsi="Arial" w:cs="Arial"/>
          <w:sz w:val="24"/>
          <w:szCs w:val="24"/>
          <w:lang w:val="es-ES"/>
        </w:rPr>
      </w:pPr>
      <w:r>
        <w:rPr>
          <w:rFonts w:ascii="Arial" w:hAnsi="Arial" w:cs="Arial"/>
          <w:sz w:val="24"/>
          <w:szCs w:val="24"/>
          <w:lang w:val="es-ES"/>
        </w:rPr>
        <w:t xml:space="preserve">No se observaron diferencias en los parámetros </w:t>
      </w:r>
      <w:proofErr w:type="spellStart"/>
      <w:r>
        <w:rPr>
          <w:rFonts w:ascii="Arial" w:hAnsi="Arial" w:cs="Arial"/>
          <w:sz w:val="24"/>
          <w:szCs w:val="24"/>
          <w:lang w:val="es-ES"/>
        </w:rPr>
        <w:t>farmacocinéticos</w:t>
      </w:r>
      <w:proofErr w:type="spellEnd"/>
      <w:r>
        <w:rPr>
          <w:rFonts w:ascii="Arial" w:hAnsi="Arial" w:cs="Arial"/>
          <w:sz w:val="24"/>
          <w:szCs w:val="24"/>
          <w:lang w:val="es-ES"/>
        </w:rPr>
        <w:t xml:space="preserve"> entre los pacientes adultos y pediátricos del estudio de IDP. No se dispone de datos sobre las propiedades farmacocinéticas en pacientes pediátricos con PDIC</w:t>
      </w:r>
    </w:p>
    <w:p w:rsidR="00936278" w:rsidRDefault="00936278" w:rsidP="00936278">
      <w:pPr>
        <w:rPr>
          <w:rFonts w:ascii="Arial" w:hAnsi="Arial" w:cs="Arial"/>
          <w:sz w:val="24"/>
          <w:szCs w:val="24"/>
          <w:lang w:val="es-ES"/>
        </w:rPr>
      </w:pPr>
    </w:p>
    <w:p w:rsidR="00936278" w:rsidRDefault="00936278" w:rsidP="00936278">
      <w:pPr>
        <w:rPr>
          <w:rFonts w:ascii="Arial" w:hAnsi="Arial" w:cs="Arial"/>
          <w:b/>
          <w:sz w:val="24"/>
          <w:szCs w:val="24"/>
          <w:lang w:val="es-ES"/>
        </w:rPr>
      </w:pPr>
      <w:r>
        <w:rPr>
          <w:rFonts w:ascii="Arial" w:hAnsi="Arial" w:cs="Arial"/>
          <w:b/>
          <w:sz w:val="24"/>
          <w:szCs w:val="24"/>
          <w:lang w:val="es-ES"/>
        </w:rPr>
        <w:t>Propiedades toxicológicas:</w:t>
      </w:r>
    </w:p>
    <w:p w:rsidR="00936278" w:rsidRDefault="00936278" w:rsidP="00936278">
      <w:pPr>
        <w:rPr>
          <w:rFonts w:ascii="Arial" w:hAnsi="Arial" w:cs="Arial"/>
          <w:sz w:val="24"/>
          <w:szCs w:val="24"/>
          <w:lang w:val="es-ES"/>
        </w:rPr>
      </w:pPr>
      <w:r>
        <w:rPr>
          <w:rFonts w:ascii="Arial" w:hAnsi="Arial" w:cs="Arial"/>
          <w:sz w:val="24"/>
          <w:szCs w:val="24"/>
          <w:lang w:val="es-ES"/>
        </w:rPr>
        <w:t xml:space="preserve">La seguridad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se ha investigado en diversos estudios preclínicos, con especial referencia al excipiente L-</w:t>
      </w:r>
      <w:proofErr w:type="spellStart"/>
      <w:r>
        <w:rPr>
          <w:rFonts w:ascii="Arial" w:hAnsi="Arial" w:cs="Arial"/>
          <w:sz w:val="24"/>
          <w:szCs w:val="24"/>
          <w:lang w:val="es-ES"/>
        </w:rPr>
        <w:t>prolina</w:t>
      </w:r>
      <w:proofErr w:type="spellEnd"/>
      <w:r>
        <w:rPr>
          <w:rFonts w:ascii="Arial" w:hAnsi="Arial" w:cs="Arial"/>
          <w:sz w:val="24"/>
          <w:szCs w:val="24"/>
          <w:lang w:val="es-ES"/>
        </w:rPr>
        <w:t>. La L-</w:t>
      </w:r>
      <w:proofErr w:type="spellStart"/>
      <w:r>
        <w:rPr>
          <w:rFonts w:ascii="Arial" w:hAnsi="Arial" w:cs="Arial"/>
          <w:sz w:val="24"/>
          <w:szCs w:val="24"/>
          <w:lang w:val="es-ES"/>
        </w:rPr>
        <w:t>prolina</w:t>
      </w:r>
      <w:proofErr w:type="spellEnd"/>
      <w:r>
        <w:rPr>
          <w:rFonts w:ascii="Arial" w:hAnsi="Arial" w:cs="Arial"/>
          <w:sz w:val="24"/>
          <w:szCs w:val="24"/>
          <w:lang w:val="es-ES"/>
        </w:rPr>
        <w:t xml:space="preserve"> es un aminoácido fisiológico no esencial. Los estudios realizados con ratas a las que se les administraron dosis diarias de L-</w:t>
      </w:r>
      <w:proofErr w:type="spellStart"/>
      <w:r>
        <w:rPr>
          <w:rFonts w:ascii="Arial" w:hAnsi="Arial" w:cs="Arial"/>
          <w:sz w:val="24"/>
          <w:szCs w:val="24"/>
          <w:lang w:val="es-ES"/>
        </w:rPr>
        <w:t>prolina</w:t>
      </w:r>
      <w:proofErr w:type="spellEnd"/>
      <w:r>
        <w:rPr>
          <w:rFonts w:ascii="Arial" w:hAnsi="Arial" w:cs="Arial"/>
          <w:sz w:val="24"/>
          <w:szCs w:val="24"/>
          <w:lang w:val="es-ES"/>
        </w:rPr>
        <w:t xml:space="preserve"> de 1450 mg/kg de peso corporal no mostraron indicios de </w:t>
      </w:r>
      <w:proofErr w:type="spellStart"/>
      <w:r>
        <w:rPr>
          <w:rFonts w:ascii="Arial" w:hAnsi="Arial" w:cs="Arial"/>
          <w:sz w:val="24"/>
          <w:szCs w:val="24"/>
          <w:lang w:val="es-ES"/>
        </w:rPr>
        <w:t>teratogenicidad</w:t>
      </w:r>
      <w:proofErr w:type="spellEnd"/>
      <w:r>
        <w:rPr>
          <w:rFonts w:ascii="Arial" w:hAnsi="Arial" w:cs="Arial"/>
          <w:sz w:val="24"/>
          <w:szCs w:val="24"/>
          <w:lang w:val="es-ES"/>
        </w:rPr>
        <w:t xml:space="preserve"> o </w:t>
      </w:r>
      <w:proofErr w:type="spellStart"/>
      <w:r>
        <w:rPr>
          <w:rFonts w:ascii="Arial" w:hAnsi="Arial" w:cs="Arial"/>
          <w:sz w:val="24"/>
          <w:szCs w:val="24"/>
          <w:lang w:val="es-ES"/>
        </w:rPr>
        <w:t>embriotoxicidad</w:t>
      </w:r>
      <w:proofErr w:type="spellEnd"/>
      <w:r>
        <w:rPr>
          <w:rFonts w:ascii="Arial" w:hAnsi="Arial" w:cs="Arial"/>
          <w:sz w:val="24"/>
          <w:szCs w:val="24"/>
          <w:lang w:val="es-ES"/>
        </w:rPr>
        <w:t xml:space="preserve">. Los estudios de </w:t>
      </w:r>
      <w:proofErr w:type="spellStart"/>
      <w:r>
        <w:rPr>
          <w:rFonts w:ascii="Arial" w:hAnsi="Arial" w:cs="Arial"/>
          <w:sz w:val="24"/>
          <w:szCs w:val="24"/>
          <w:lang w:val="es-ES"/>
        </w:rPr>
        <w:t>genotoxicidad</w:t>
      </w:r>
      <w:proofErr w:type="spellEnd"/>
      <w:r>
        <w:rPr>
          <w:rFonts w:ascii="Arial" w:hAnsi="Arial" w:cs="Arial"/>
          <w:sz w:val="24"/>
          <w:szCs w:val="24"/>
          <w:lang w:val="es-ES"/>
        </w:rPr>
        <w:t xml:space="preserve"> de la L-</w:t>
      </w:r>
      <w:proofErr w:type="spellStart"/>
      <w:r>
        <w:rPr>
          <w:rFonts w:ascii="Arial" w:hAnsi="Arial" w:cs="Arial"/>
          <w:sz w:val="24"/>
          <w:szCs w:val="24"/>
          <w:lang w:val="es-ES"/>
        </w:rPr>
        <w:t>prolina</w:t>
      </w:r>
      <w:proofErr w:type="spellEnd"/>
      <w:r>
        <w:rPr>
          <w:rFonts w:ascii="Arial" w:hAnsi="Arial" w:cs="Arial"/>
          <w:sz w:val="24"/>
          <w:szCs w:val="24"/>
          <w:lang w:val="es-ES"/>
        </w:rPr>
        <w:t xml:space="preserve"> no mostraron ningún resultado patológico.</w:t>
      </w:r>
    </w:p>
    <w:p w:rsidR="00936278" w:rsidRDefault="00936278" w:rsidP="00936278">
      <w:pPr>
        <w:rPr>
          <w:rFonts w:ascii="Arial" w:hAnsi="Arial" w:cs="Arial"/>
          <w:sz w:val="24"/>
          <w:szCs w:val="24"/>
          <w:lang w:val="es-ES"/>
        </w:rPr>
      </w:pPr>
      <w:r>
        <w:rPr>
          <w:rFonts w:ascii="Arial" w:hAnsi="Arial" w:cs="Arial"/>
          <w:sz w:val="24"/>
          <w:szCs w:val="24"/>
          <w:lang w:val="es-ES"/>
        </w:rPr>
        <w:t xml:space="preserve">Algunos estudios publicados relativos a la </w:t>
      </w:r>
      <w:proofErr w:type="spellStart"/>
      <w:r>
        <w:rPr>
          <w:rFonts w:ascii="Arial" w:hAnsi="Arial" w:cs="Arial"/>
          <w:sz w:val="24"/>
          <w:szCs w:val="24"/>
          <w:lang w:val="es-ES"/>
        </w:rPr>
        <w:t>hiperprolinemia</w:t>
      </w:r>
      <w:proofErr w:type="spellEnd"/>
      <w:r>
        <w:rPr>
          <w:rFonts w:ascii="Arial" w:hAnsi="Arial" w:cs="Arial"/>
          <w:sz w:val="24"/>
          <w:szCs w:val="24"/>
          <w:lang w:val="es-ES"/>
        </w:rPr>
        <w:t xml:space="preserve"> han demostrado que altas dosis a largo plazo de L-</w:t>
      </w:r>
      <w:proofErr w:type="spellStart"/>
      <w:r>
        <w:rPr>
          <w:rFonts w:ascii="Arial" w:hAnsi="Arial" w:cs="Arial"/>
          <w:sz w:val="24"/>
          <w:szCs w:val="24"/>
          <w:lang w:val="es-ES"/>
        </w:rPr>
        <w:t>prolina</w:t>
      </w:r>
      <w:proofErr w:type="spellEnd"/>
      <w:r>
        <w:rPr>
          <w:rFonts w:ascii="Arial" w:hAnsi="Arial" w:cs="Arial"/>
          <w:sz w:val="24"/>
          <w:szCs w:val="24"/>
          <w:lang w:val="es-ES"/>
        </w:rPr>
        <w:t xml:space="preserve"> tienen efectos en el desarrollo del cerebro de ratas muy jóvenes. No obstante, en estudios en los que la dosis se diseñó para reflejar las indicaciones clínicas de </w:t>
      </w:r>
      <w:proofErr w:type="spellStart"/>
      <w:r>
        <w:rPr>
          <w:rFonts w:ascii="Arial" w:hAnsi="Arial" w:cs="Arial"/>
          <w:sz w:val="24"/>
          <w:szCs w:val="24"/>
          <w:lang w:val="es-ES"/>
        </w:rPr>
        <w:t>Privigen</w:t>
      </w:r>
      <w:proofErr w:type="spellEnd"/>
      <w:r>
        <w:rPr>
          <w:rFonts w:ascii="Arial" w:hAnsi="Arial" w:cs="Arial"/>
          <w:sz w:val="24"/>
          <w:szCs w:val="24"/>
          <w:lang w:val="es-ES"/>
        </w:rPr>
        <w:t>, no se observaron efectos en el desarrollo del cerebro. Otros estudios farmacológicos de seguridad de la L-</w:t>
      </w:r>
      <w:proofErr w:type="spellStart"/>
      <w:r>
        <w:rPr>
          <w:rFonts w:ascii="Arial" w:hAnsi="Arial" w:cs="Arial"/>
          <w:sz w:val="24"/>
          <w:szCs w:val="24"/>
          <w:lang w:val="es-ES"/>
        </w:rPr>
        <w:t>prolina</w:t>
      </w:r>
      <w:proofErr w:type="spellEnd"/>
      <w:r>
        <w:rPr>
          <w:rFonts w:ascii="Arial" w:hAnsi="Arial" w:cs="Arial"/>
          <w:sz w:val="24"/>
          <w:szCs w:val="24"/>
          <w:lang w:val="es-ES"/>
        </w:rPr>
        <w:t xml:space="preserve"> en ratas adultas y jóvenes no mostraron trastornos del comportamiento.</w:t>
      </w:r>
    </w:p>
    <w:p w:rsidR="00936278" w:rsidRDefault="00936278" w:rsidP="00936278">
      <w:pPr>
        <w:rPr>
          <w:rFonts w:ascii="Arial" w:hAnsi="Arial" w:cs="Arial"/>
          <w:sz w:val="24"/>
          <w:szCs w:val="24"/>
          <w:lang w:val="es-ES"/>
        </w:rPr>
      </w:pPr>
      <w:r>
        <w:rPr>
          <w:rFonts w:ascii="Arial" w:hAnsi="Arial" w:cs="Arial"/>
          <w:sz w:val="24"/>
          <w:szCs w:val="24"/>
          <w:lang w:val="es-ES"/>
        </w:rPr>
        <w:lastRenderedPageBreak/>
        <w:t xml:space="preserve">Las inmunoglobulinas son componentes naturales del cuerpo humano. Los datos obtenidos en la experimentación con animales sobre toxicidad aguda y crónica y toxicidad </w:t>
      </w:r>
      <w:proofErr w:type="spellStart"/>
      <w:r>
        <w:rPr>
          <w:rFonts w:ascii="Arial" w:hAnsi="Arial" w:cs="Arial"/>
          <w:sz w:val="24"/>
          <w:szCs w:val="24"/>
          <w:lang w:val="es-ES"/>
        </w:rPr>
        <w:t>embriofetal</w:t>
      </w:r>
      <w:proofErr w:type="spellEnd"/>
      <w:r>
        <w:rPr>
          <w:rFonts w:ascii="Arial" w:hAnsi="Arial" w:cs="Arial"/>
          <w:sz w:val="24"/>
          <w:szCs w:val="24"/>
          <w:lang w:val="es-ES"/>
        </w:rPr>
        <w:t xml:space="preserve"> de las inmunoglobulinas no son concluyentes teniendo en cuenta las interacciones entre las inmunoglobulinas de especies heterogéneas y la inducción de anticuerpos a proteínas </w:t>
      </w:r>
      <w:proofErr w:type="spellStart"/>
      <w:r>
        <w:rPr>
          <w:rFonts w:ascii="Arial" w:hAnsi="Arial" w:cs="Arial"/>
          <w:sz w:val="24"/>
          <w:szCs w:val="24"/>
          <w:lang w:val="es-ES"/>
        </w:rPr>
        <w:t>heterólogas</w:t>
      </w:r>
      <w:proofErr w:type="spellEnd"/>
      <w:r>
        <w:rPr>
          <w:rFonts w:ascii="Arial" w:hAnsi="Arial" w:cs="Arial"/>
          <w:sz w:val="24"/>
          <w:szCs w:val="24"/>
          <w:lang w:val="es-ES"/>
        </w:rPr>
        <w:t>.</w:t>
      </w:r>
    </w:p>
    <w:p w:rsidR="00936278" w:rsidRDefault="00936278" w:rsidP="00936278">
      <w:pPr>
        <w:rPr>
          <w:rFonts w:ascii="Arial" w:hAnsi="Arial" w:cs="Arial"/>
          <w:sz w:val="24"/>
          <w:szCs w:val="24"/>
          <w:lang w:val="es-ES"/>
        </w:rPr>
      </w:pPr>
      <w:r>
        <w:rPr>
          <w:rFonts w:ascii="Arial" w:hAnsi="Arial" w:cs="Arial"/>
          <w:sz w:val="24"/>
          <w:szCs w:val="24"/>
          <w:lang w:val="es-ES"/>
        </w:rPr>
        <w:t xml:space="preserve">En estudios de tolerabilidad local realizados con conejos en los que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se administró por vía intravenosa, </w:t>
      </w:r>
      <w:proofErr w:type="spellStart"/>
      <w:r>
        <w:rPr>
          <w:rFonts w:ascii="Arial" w:hAnsi="Arial" w:cs="Arial"/>
          <w:sz w:val="24"/>
          <w:szCs w:val="24"/>
          <w:lang w:val="es-ES"/>
        </w:rPr>
        <w:t>paravenosa</w:t>
      </w:r>
      <w:proofErr w:type="spellEnd"/>
      <w:r>
        <w:rPr>
          <w:rFonts w:ascii="Arial" w:hAnsi="Arial" w:cs="Arial"/>
          <w:sz w:val="24"/>
          <w:szCs w:val="24"/>
          <w:lang w:val="es-ES"/>
        </w:rPr>
        <w:t xml:space="preserve">, </w:t>
      </w:r>
      <w:proofErr w:type="spellStart"/>
      <w:r>
        <w:rPr>
          <w:rFonts w:ascii="Arial" w:hAnsi="Arial" w:cs="Arial"/>
          <w:sz w:val="24"/>
          <w:szCs w:val="24"/>
          <w:lang w:val="es-ES"/>
        </w:rPr>
        <w:t>intraarterial</w:t>
      </w:r>
      <w:proofErr w:type="spellEnd"/>
      <w:r>
        <w:rPr>
          <w:rFonts w:ascii="Arial" w:hAnsi="Arial" w:cs="Arial"/>
          <w:sz w:val="24"/>
          <w:szCs w:val="24"/>
          <w:lang w:val="es-ES"/>
        </w:rPr>
        <w:t xml:space="preserve"> y subcutánea, el producto se toleró bien.</w:t>
      </w:r>
    </w:p>
    <w:p w:rsidR="00936278" w:rsidRDefault="00936278" w:rsidP="00936278">
      <w:pPr>
        <w:jc w:val="both"/>
        <w:rPr>
          <w:rFonts w:ascii="Arial" w:hAnsi="Arial" w:cs="Arial"/>
          <w:b/>
          <w:sz w:val="24"/>
          <w:szCs w:val="24"/>
        </w:rPr>
      </w:pPr>
      <w:r>
        <w:rPr>
          <w:rFonts w:ascii="Arial" w:hAnsi="Arial" w:cs="Arial"/>
          <w:b/>
          <w:sz w:val="24"/>
          <w:szCs w:val="24"/>
        </w:rPr>
        <w:t>Posología y Modo de Uso:</w:t>
      </w:r>
    </w:p>
    <w:p w:rsidR="00936278" w:rsidRDefault="00936278" w:rsidP="00936278">
      <w:pPr>
        <w:rPr>
          <w:rFonts w:ascii="Arial" w:hAnsi="Arial" w:cs="Arial"/>
          <w:b/>
          <w:bCs/>
          <w:sz w:val="24"/>
          <w:szCs w:val="24"/>
          <w:lang w:val="es-ES"/>
        </w:rPr>
      </w:pPr>
      <w:r>
        <w:rPr>
          <w:rFonts w:ascii="Arial" w:hAnsi="Arial" w:cs="Arial"/>
          <w:b/>
          <w:bCs/>
          <w:sz w:val="24"/>
          <w:szCs w:val="24"/>
          <w:lang w:val="es-ES"/>
        </w:rPr>
        <w:t>Dosis</w:t>
      </w:r>
    </w:p>
    <w:p w:rsidR="00936278" w:rsidRDefault="00936278" w:rsidP="00936278">
      <w:pPr>
        <w:rPr>
          <w:rFonts w:ascii="Arial" w:hAnsi="Arial" w:cs="Arial"/>
          <w:sz w:val="24"/>
          <w:szCs w:val="24"/>
          <w:lang w:val="es-ES"/>
        </w:rPr>
      </w:pPr>
      <w:r>
        <w:rPr>
          <w:rFonts w:ascii="Arial" w:hAnsi="Arial" w:cs="Arial"/>
          <w:sz w:val="24"/>
          <w:szCs w:val="24"/>
          <w:lang w:val="es-ES"/>
        </w:rPr>
        <w:t>La dosis y el régimen de dosificación dependen de la indicación. En terapia de reemplazo se puede necesitar individualizar la dosis para cada paciente dependiendo de la farmacocinética y respuesta clínica. Los siguientes regímenes de dosificación se dan como guía.</w:t>
      </w:r>
    </w:p>
    <w:p w:rsidR="00936278" w:rsidRDefault="00936278" w:rsidP="00936278">
      <w:pPr>
        <w:rPr>
          <w:rFonts w:ascii="Arial" w:hAnsi="Arial" w:cs="Arial"/>
          <w:sz w:val="24"/>
          <w:szCs w:val="24"/>
          <w:u w:val="single"/>
          <w:lang w:val="es-ES"/>
        </w:rPr>
      </w:pPr>
      <w:r>
        <w:rPr>
          <w:rFonts w:ascii="Arial" w:hAnsi="Arial" w:cs="Arial"/>
          <w:sz w:val="24"/>
          <w:szCs w:val="24"/>
          <w:u w:val="single"/>
          <w:lang w:val="es-ES"/>
        </w:rPr>
        <w:t>Terapia de reemplazo en síndromes de inmunodeficiencia primaria</w:t>
      </w:r>
    </w:p>
    <w:p w:rsidR="00936278" w:rsidRDefault="00936278" w:rsidP="00936278">
      <w:pPr>
        <w:rPr>
          <w:rFonts w:ascii="Arial" w:hAnsi="Arial" w:cs="Arial"/>
          <w:sz w:val="24"/>
          <w:szCs w:val="24"/>
          <w:lang w:val="es-ES"/>
        </w:rPr>
      </w:pPr>
      <w:r>
        <w:rPr>
          <w:rFonts w:ascii="Arial" w:hAnsi="Arial" w:cs="Arial"/>
          <w:sz w:val="24"/>
          <w:szCs w:val="24"/>
          <w:lang w:val="es-ES"/>
        </w:rPr>
        <w:t xml:space="preserve">El régimen de dosificación deberá alcanzar un nivel mínimo de </w:t>
      </w:r>
      <w:proofErr w:type="spellStart"/>
      <w:r>
        <w:rPr>
          <w:rFonts w:ascii="Arial" w:hAnsi="Arial" w:cs="Arial"/>
          <w:sz w:val="24"/>
          <w:szCs w:val="24"/>
          <w:lang w:val="es-ES"/>
        </w:rPr>
        <w:t>IgG</w:t>
      </w:r>
      <w:proofErr w:type="spellEnd"/>
      <w:r>
        <w:rPr>
          <w:rFonts w:ascii="Arial" w:hAnsi="Arial" w:cs="Arial"/>
          <w:sz w:val="24"/>
          <w:szCs w:val="24"/>
          <w:lang w:val="es-ES"/>
        </w:rPr>
        <w:t xml:space="preserve"> (medido antes de la siguiente infusión) de por lo menos 5 a 6 g/l. Se requiere de 3 a 6 meses después del inicio de la terapia para que el equilibrio ocurra. La dosis de inicio recomendada es 0.4 a 0.8 g/kg de peso corporal (pc), seguida de por lo menos 0.2 g/kg pc cada 3–4 semanas.</w:t>
      </w:r>
    </w:p>
    <w:p w:rsidR="00936278" w:rsidRDefault="00936278" w:rsidP="00936278">
      <w:pPr>
        <w:jc w:val="both"/>
        <w:rPr>
          <w:rFonts w:ascii="Arial" w:hAnsi="Arial" w:cs="Arial"/>
          <w:sz w:val="24"/>
          <w:szCs w:val="24"/>
          <w:lang w:val="es-ES"/>
        </w:rPr>
      </w:pPr>
      <w:r>
        <w:rPr>
          <w:rFonts w:ascii="Arial" w:hAnsi="Arial" w:cs="Arial"/>
          <w:sz w:val="24"/>
          <w:szCs w:val="24"/>
          <w:lang w:val="es-ES"/>
        </w:rPr>
        <w:t>La dosis requerida para alcanzar un nivel mínimo de 5 a 6 g/l es del orden de 0.2 a 0.8 g/kg pc/ mes. El intervalo de dosis cuando el estado estacionario ha sido alcanzado varía de 3 a 4 semanas. Los niveles mínimos deberán medirse a fin de ajustar la dosis e intervalo de dosis.</w:t>
      </w:r>
    </w:p>
    <w:p w:rsidR="00936278" w:rsidRDefault="00936278" w:rsidP="00936278">
      <w:pPr>
        <w:rPr>
          <w:rFonts w:ascii="Arial" w:hAnsi="Arial" w:cs="Arial"/>
          <w:sz w:val="24"/>
          <w:szCs w:val="24"/>
          <w:lang w:val="es-ES"/>
        </w:rPr>
      </w:pPr>
      <w:r>
        <w:rPr>
          <w:rFonts w:ascii="Arial" w:hAnsi="Arial" w:cs="Arial"/>
          <w:sz w:val="24"/>
          <w:szCs w:val="24"/>
          <w:lang w:val="es-ES"/>
        </w:rPr>
        <w:t xml:space="preserve">Terapia de reemplazo en mieloma o en leucemia linfocítica crónica con </w:t>
      </w:r>
      <w:proofErr w:type="spellStart"/>
      <w:r>
        <w:rPr>
          <w:rFonts w:ascii="Arial" w:hAnsi="Arial" w:cs="Arial"/>
          <w:sz w:val="24"/>
          <w:szCs w:val="24"/>
          <w:lang w:val="es-ES"/>
        </w:rPr>
        <w:t>hipogammaglobulinemia</w:t>
      </w:r>
      <w:proofErr w:type="spellEnd"/>
      <w:r>
        <w:rPr>
          <w:rFonts w:ascii="Arial" w:hAnsi="Arial" w:cs="Arial"/>
          <w:sz w:val="24"/>
          <w:szCs w:val="24"/>
          <w:lang w:val="es-ES"/>
        </w:rPr>
        <w:t xml:space="preserve"> secundaria grave e infecciones recurrentes; terapia de reemplazo en niños con SIDA congénito e infecciones recurrentes La dosis recomendada es de 0.2 a 0.4 g/kg pc cada 3 a 4 semanas.</w:t>
      </w:r>
    </w:p>
    <w:p w:rsidR="00936278" w:rsidRDefault="00936278" w:rsidP="00936278">
      <w:pPr>
        <w:rPr>
          <w:rFonts w:ascii="Arial" w:hAnsi="Arial" w:cs="Arial"/>
          <w:sz w:val="24"/>
          <w:szCs w:val="24"/>
          <w:u w:val="single"/>
          <w:lang w:val="es-ES"/>
        </w:rPr>
      </w:pPr>
      <w:r>
        <w:rPr>
          <w:rFonts w:ascii="Arial" w:hAnsi="Arial" w:cs="Arial"/>
          <w:sz w:val="24"/>
          <w:szCs w:val="24"/>
          <w:u w:val="single"/>
          <w:lang w:val="es-ES"/>
        </w:rPr>
        <w:t xml:space="preserve">Púrpura </w:t>
      </w:r>
      <w:proofErr w:type="spellStart"/>
      <w:r>
        <w:rPr>
          <w:rFonts w:ascii="Arial" w:hAnsi="Arial" w:cs="Arial"/>
          <w:sz w:val="24"/>
          <w:szCs w:val="24"/>
          <w:u w:val="single"/>
          <w:lang w:val="es-ES"/>
        </w:rPr>
        <w:t>trombocitopénica</w:t>
      </w:r>
      <w:proofErr w:type="spellEnd"/>
      <w:r>
        <w:rPr>
          <w:rFonts w:ascii="Arial" w:hAnsi="Arial" w:cs="Arial"/>
          <w:sz w:val="24"/>
          <w:szCs w:val="24"/>
          <w:u w:val="single"/>
          <w:lang w:val="es-ES"/>
        </w:rPr>
        <w:t xml:space="preserve"> inmunológica</w:t>
      </w:r>
    </w:p>
    <w:p w:rsidR="00936278" w:rsidRDefault="00936278" w:rsidP="00936278">
      <w:pPr>
        <w:rPr>
          <w:rFonts w:ascii="Arial" w:hAnsi="Arial" w:cs="Arial"/>
          <w:sz w:val="24"/>
          <w:szCs w:val="24"/>
          <w:lang w:val="es-ES"/>
        </w:rPr>
      </w:pPr>
      <w:r>
        <w:rPr>
          <w:rFonts w:ascii="Arial" w:hAnsi="Arial" w:cs="Arial"/>
          <w:sz w:val="24"/>
          <w:szCs w:val="24"/>
          <w:lang w:val="es-ES"/>
        </w:rPr>
        <w:t>Para el tratamiento de un episodio agudo, 0.8 a 1 g/kg pc en el día uno, que se puede repetir una vez dentro de los 3 días o, 0.4 g/kg pc diariamente por 2 a 5 días. El tratamiento se puede repetir si ocurre una recaída (ver también la sección «Propiedades/Efectos»).</w:t>
      </w:r>
    </w:p>
    <w:p w:rsidR="00936278" w:rsidRDefault="00936278" w:rsidP="00936278">
      <w:pPr>
        <w:rPr>
          <w:rFonts w:ascii="Arial" w:hAnsi="Arial" w:cs="Arial"/>
          <w:sz w:val="24"/>
          <w:szCs w:val="24"/>
          <w:u w:val="single"/>
          <w:lang w:val="es-ES"/>
        </w:rPr>
      </w:pPr>
      <w:r>
        <w:rPr>
          <w:rFonts w:ascii="Arial" w:hAnsi="Arial" w:cs="Arial"/>
          <w:sz w:val="24"/>
          <w:szCs w:val="24"/>
          <w:u w:val="single"/>
          <w:lang w:val="es-ES"/>
        </w:rPr>
        <w:t xml:space="preserve">Síndrome de </w:t>
      </w:r>
      <w:proofErr w:type="spellStart"/>
      <w:r>
        <w:rPr>
          <w:rFonts w:ascii="Arial" w:hAnsi="Arial" w:cs="Arial"/>
          <w:sz w:val="24"/>
          <w:szCs w:val="24"/>
          <w:u w:val="single"/>
          <w:lang w:val="es-ES"/>
        </w:rPr>
        <w:t>Guillain</w:t>
      </w:r>
      <w:proofErr w:type="spellEnd"/>
      <w:r>
        <w:rPr>
          <w:rFonts w:ascii="Arial" w:hAnsi="Arial" w:cs="Arial"/>
          <w:sz w:val="24"/>
          <w:szCs w:val="24"/>
          <w:u w:val="single"/>
          <w:lang w:val="es-ES"/>
        </w:rPr>
        <w:t>-Barré</w:t>
      </w:r>
    </w:p>
    <w:p w:rsidR="00936278" w:rsidRDefault="00936278" w:rsidP="00936278">
      <w:pPr>
        <w:rPr>
          <w:rFonts w:ascii="Arial" w:hAnsi="Arial" w:cs="Arial"/>
          <w:sz w:val="24"/>
          <w:szCs w:val="24"/>
          <w:lang w:val="es-ES"/>
        </w:rPr>
      </w:pPr>
      <w:r>
        <w:rPr>
          <w:rFonts w:ascii="Arial" w:hAnsi="Arial" w:cs="Arial"/>
          <w:sz w:val="24"/>
          <w:szCs w:val="24"/>
          <w:lang w:val="es-ES"/>
        </w:rPr>
        <w:t>0.4 g/kg pc/día durante 5 días. La experiencia en niños es limitada.</w:t>
      </w:r>
    </w:p>
    <w:p w:rsidR="00936278" w:rsidRDefault="00936278" w:rsidP="00936278">
      <w:pPr>
        <w:rPr>
          <w:rFonts w:ascii="Arial" w:hAnsi="Arial" w:cs="Arial"/>
          <w:sz w:val="24"/>
          <w:szCs w:val="24"/>
          <w:u w:val="single"/>
          <w:lang w:val="es-ES"/>
        </w:rPr>
      </w:pPr>
      <w:r>
        <w:rPr>
          <w:rFonts w:ascii="Arial" w:hAnsi="Arial" w:cs="Arial"/>
          <w:sz w:val="24"/>
          <w:szCs w:val="24"/>
          <w:u w:val="single"/>
          <w:lang w:val="es-ES"/>
        </w:rPr>
        <w:t>Enfermedad de Kawasaki</w:t>
      </w:r>
    </w:p>
    <w:p w:rsidR="00936278" w:rsidRDefault="00936278" w:rsidP="00936278">
      <w:pPr>
        <w:rPr>
          <w:rFonts w:ascii="Arial" w:hAnsi="Arial" w:cs="Arial"/>
          <w:sz w:val="24"/>
          <w:szCs w:val="24"/>
          <w:u w:val="single"/>
          <w:lang w:val="es-ES"/>
        </w:rPr>
      </w:pPr>
      <w:r>
        <w:rPr>
          <w:rFonts w:ascii="Arial" w:hAnsi="Arial" w:cs="Arial"/>
          <w:sz w:val="24"/>
          <w:szCs w:val="24"/>
          <w:lang w:val="es-ES"/>
        </w:rPr>
        <w:t xml:space="preserve">Deben administrarse de 1.6 a 2.0 g/kg pc en dosis divididas por 2 a 5 días, o 2.0 g/kg pc como dosis única. Los pacientes deberán recibir tratamiento concomitante con ácido acetilsalicílico. </w:t>
      </w:r>
      <w:proofErr w:type="spellStart"/>
      <w:r>
        <w:rPr>
          <w:rFonts w:ascii="Arial" w:hAnsi="Arial" w:cs="Arial"/>
          <w:sz w:val="24"/>
          <w:szCs w:val="24"/>
          <w:u w:val="single"/>
          <w:lang w:val="es-ES"/>
        </w:rPr>
        <w:t>Polineuropatía</w:t>
      </w:r>
      <w:proofErr w:type="spellEnd"/>
      <w:r>
        <w:rPr>
          <w:rFonts w:ascii="Arial" w:hAnsi="Arial" w:cs="Arial"/>
          <w:sz w:val="24"/>
          <w:szCs w:val="24"/>
          <w:u w:val="single"/>
          <w:lang w:val="es-ES"/>
        </w:rPr>
        <w:t xml:space="preserve"> </w:t>
      </w:r>
      <w:proofErr w:type="spellStart"/>
      <w:r>
        <w:rPr>
          <w:rFonts w:ascii="Arial" w:hAnsi="Arial" w:cs="Arial"/>
          <w:sz w:val="24"/>
          <w:szCs w:val="24"/>
          <w:u w:val="single"/>
          <w:lang w:val="es-ES"/>
        </w:rPr>
        <w:t>desmielinizante</w:t>
      </w:r>
      <w:proofErr w:type="spellEnd"/>
      <w:r>
        <w:rPr>
          <w:rFonts w:ascii="Arial" w:hAnsi="Arial" w:cs="Arial"/>
          <w:sz w:val="24"/>
          <w:szCs w:val="24"/>
          <w:u w:val="single"/>
          <w:lang w:val="es-ES"/>
        </w:rPr>
        <w:t xml:space="preserve"> inflamatoria crónica (PDIC)</w:t>
      </w:r>
    </w:p>
    <w:p w:rsidR="00936278" w:rsidRDefault="00936278" w:rsidP="00936278">
      <w:pPr>
        <w:rPr>
          <w:rFonts w:ascii="Arial" w:hAnsi="Arial" w:cs="Arial"/>
          <w:sz w:val="24"/>
          <w:szCs w:val="24"/>
          <w:lang w:val="es-ES"/>
        </w:rPr>
      </w:pPr>
      <w:r>
        <w:rPr>
          <w:rFonts w:ascii="Arial" w:hAnsi="Arial" w:cs="Arial"/>
          <w:sz w:val="24"/>
          <w:szCs w:val="24"/>
          <w:lang w:val="es-ES"/>
        </w:rPr>
        <w:lastRenderedPageBreak/>
        <w:t>La dosis inicial recomendada es de 2 g/kg de peso corporal durante un periodo de 2 a 5 días consecutivos, seguidos de dosis de mantenimiento de 1 g/kg de peso corporal durante 1 o 2 días consecutivos cada 3 semanas.</w:t>
      </w:r>
    </w:p>
    <w:p w:rsidR="00936278" w:rsidRDefault="00936278" w:rsidP="00936278">
      <w:pPr>
        <w:rPr>
          <w:rFonts w:ascii="Arial" w:hAnsi="Arial" w:cs="Arial"/>
          <w:sz w:val="24"/>
          <w:szCs w:val="24"/>
          <w:lang w:val="es-ES"/>
        </w:rPr>
      </w:pPr>
      <w:r>
        <w:rPr>
          <w:rFonts w:ascii="Arial" w:hAnsi="Arial" w:cs="Arial"/>
          <w:sz w:val="24"/>
          <w:szCs w:val="24"/>
          <w:lang w:val="es-ES"/>
        </w:rPr>
        <w:t>El tratamiento a largo plazo durante 25 semanas depende de la respuesta del paciente a la terapia de mantenimiento. La dosis de mantenimiento eficaz más baja y el régimen de dosificación son para ajustarse de acuerdo con el curso individual de la enfermedad.</w:t>
      </w:r>
    </w:p>
    <w:p w:rsidR="00936278" w:rsidRDefault="00936278" w:rsidP="00936278">
      <w:pPr>
        <w:rPr>
          <w:rFonts w:ascii="Arial" w:hAnsi="Arial" w:cs="Arial"/>
          <w:sz w:val="24"/>
          <w:szCs w:val="24"/>
          <w:u w:val="single"/>
          <w:lang w:val="es-ES"/>
        </w:rPr>
      </w:pPr>
      <w:proofErr w:type="spellStart"/>
      <w:r>
        <w:rPr>
          <w:rFonts w:ascii="Arial" w:hAnsi="Arial" w:cs="Arial"/>
          <w:sz w:val="24"/>
          <w:szCs w:val="24"/>
          <w:u w:val="single"/>
          <w:lang w:val="es-ES"/>
        </w:rPr>
        <w:t>Alotrasplante</w:t>
      </w:r>
      <w:proofErr w:type="spellEnd"/>
      <w:r>
        <w:rPr>
          <w:rFonts w:ascii="Arial" w:hAnsi="Arial" w:cs="Arial"/>
          <w:sz w:val="24"/>
          <w:szCs w:val="24"/>
          <w:u w:val="single"/>
          <w:lang w:val="es-ES"/>
        </w:rPr>
        <w:t xml:space="preserve"> de médula ósea</w:t>
      </w:r>
    </w:p>
    <w:p w:rsidR="00936278" w:rsidRDefault="00936278" w:rsidP="00936278">
      <w:pPr>
        <w:rPr>
          <w:rFonts w:ascii="Arial" w:hAnsi="Arial" w:cs="Arial"/>
          <w:sz w:val="24"/>
          <w:szCs w:val="24"/>
          <w:lang w:val="es-ES"/>
        </w:rPr>
      </w:pPr>
      <w:r>
        <w:rPr>
          <w:rFonts w:ascii="Arial" w:hAnsi="Arial" w:cs="Arial"/>
          <w:sz w:val="24"/>
          <w:szCs w:val="24"/>
          <w:lang w:val="es-ES"/>
        </w:rPr>
        <w:t>El tratamiento con inmunoglobulina humana puede emplearse como parte del régimen de acondicionamiento y después del trasplante. Para el tratamiento de infecciones y para la prevención de la reacción del injerto contra el huésped, la dosificación debe ajustarse individualmente.</w:t>
      </w:r>
    </w:p>
    <w:p w:rsidR="00936278" w:rsidRDefault="00936278" w:rsidP="00936278">
      <w:pPr>
        <w:rPr>
          <w:rFonts w:ascii="Arial" w:hAnsi="Arial" w:cs="Arial"/>
          <w:sz w:val="24"/>
          <w:szCs w:val="24"/>
          <w:lang w:val="es-ES"/>
        </w:rPr>
      </w:pPr>
      <w:r>
        <w:rPr>
          <w:rFonts w:ascii="Arial" w:hAnsi="Arial" w:cs="Arial"/>
          <w:sz w:val="24"/>
          <w:szCs w:val="24"/>
          <w:lang w:val="es-ES"/>
        </w:rPr>
        <w:t xml:space="preserve">Habitualmente, la dosis inicial es de 0.5 g/kg pc/semana, comenzando siete días antes del trasplante. El tratamiento se continúa hasta 3 meses después del trasplante. En caso de persistir el déficit de producción de anticuerpos se recomienda una dosis de 0.5 g/kg pc/mes hasta que los niveles de anticuerpos de </w:t>
      </w:r>
      <w:proofErr w:type="spellStart"/>
      <w:r>
        <w:rPr>
          <w:rFonts w:ascii="Arial" w:hAnsi="Arial" w:cs="Arial"/>
          <w:sz w:val="24"/>
          <w:szCs w:val="24"/>
          <w:lang w:val="es-ES"/>
        </w:rPr>
        <w:t>IgG</w:t>
      </w:r>
      <w:proofErr w:type="spellEnd"/>
      <w:r>
        <w:rPr>
          <w:rFonts w:ascii="Arial" w:hAnsi="Arial" w:cs="Arial"/>
          <w:sz w:val="24"/>
          <w:szCs w:val="24"/>
          <w:lang w:val="es-ES"/>
        </w:rPr>
        <w:t xml:space="preserve"> regresen a la normalidad.</w:t>
      </w:r>
    </w:p>
    <w:p w:rsidR="00936278" w:rsidRDefault="00936278" w:rsidP="00936278">
      <w:pPr>
        <w:rPr>
          <w:rFonts w:ascii="Arial" w:hAnsi="Arial" w:cs="Arial"/>
          <w:sz w:val="24"/>
          <w:szCs w:val="24"/>
          <w:lang w:val="es-ES"/>
        </w:rPr>
      </w:pPr>
      <w:r>
        <w:rPr>
          <w:rFonts w:ascii="Arial" w:hAnsi="Arial" w:cs="Arial"/>
          <w:sz w:val="24"/>
          <w:szCs w:val="24"/>
          <w:lang w:val="es-ES"/>
        </w:rPr>
        <w:t>Las recomendaciones de dosis se resumen en la siguiente tabla:</w:t>
      </w:r>
    </w:p>
    <w:p w:rsidR="00936278" w:rsidRDefault="00936278" w:rsidP="00936278">
      <w:pPr>
        <w:rPr>
          <w:rFonts w:ascii="Arial" w:hAnsi="Arial" w:cs="Arial"/>
          <w:sz w:val="24"/>
          <w:szCs w:val="24"/>
          <w:lang w:val="es-ES"/>
        </w:rPr>
      </w:pPr>
    </w:p>
    <w:tbl>
      <w:tblPr>
        <w:tblStyle w:val="Tablaconcuadrcula"/>
        <w:tblW w:w="0" w:type="auto"/>
        <w:tblInd w:w="0" w:type="dxa"/>
        <w:tblLook w:val="04A0" w:firstRow="1" w:lastRow="0" w:firstColumn="1" w:lastColumn="0" w:noHBand="0" w:noVBand="1"/>
      </w:tblPr>
      <w:tblGrid>
        <w:gridCol w:w="2921"/>
        <w:gridCol w:w="2765"/>
        <w:gridCol w:w="2808"/>
      </w:tblGrid>
      <w:tr w:rsidR="00936278" w:rsidTr="00936278">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b/>
                <w:bCs/>
                <w:sz w:val="24"/>
                <w:szCs w:val="24"/>
              </w:rPr>
            </w:pPr>
            <w:r>
              <w:rPr>
                <w:rFonts w:ascii="Arial" w:hAnsi="Arial" w:cs="Arial"/>
                <w:b/>
                <w:bCs/>
                <w:sz w:val="24"/>
                <w:szCs w:val="24"/>
              </w:rPr>
              <w:t xml:space="preserve">Indicaciones </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b/>
                <w:bCs/>
                <w:sz w:val="24"/>
                <w:szCs w:val="24"/>
              </w:rPr>
            </w:pPr>
            <w:r>
              <w:rPr>
                <w:rFonts w:ascii="Arial" w:hAnsi="Arial" w:cs="Arial"/>
                <w:b/>
                <w:bCs/>
                <w:sz w:val="24"/>
                <w:szCs w:val="24"/>
              </w:rPr>
              <w:t xml:space="preserve">Dosis </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76" w:lineRule="auto"/>
              <w:rPr>
                <w:rFonts w:ascii="Arial" w:hAnsi="Arial" w:cs="Arial"/>
                <w:b/>
                <w:bCs/>
                <w:sz w:val="24"/>
                <w:szCs w:val="24"/>
              </w:rPr>
            </w:pPr>
            <w:r>
              <w:rPr>
                <w:rFonts w:ascii="Arial" w:hAnsi="Arial" w:cs="Arial"/>
                <w:b/>
                <w:bCs/>
                <w:sz w:val="24"/>
                <w:szCs w:val="24"/>
              </w:rPr>
              <w:t>Intervalos entre inyecciones</w:t>
            </w:r>
          </w:p>
        </w:tc>
      </w:tr>
      <w:tr w:rsidR="00936278" w:rsidTr="00936278">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Terapia de reemplazo en Síndromes de inmunodeficiencia primaria </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dosis inicial:0.4–0.8 g/kg pc después: 0.2–0.8 g/kg pc</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cada 3–4 semanas para alcanzar concentraciones mínimas de </w:t>
            </w:r>
            <w:proofErr w:type="spellStart"/>
            <w:r>
              <w:rPr>
                <w:rFonts w:ascii="Arial" w:hAnsi="Arial" w:cs="Arial"/>
                <w:sz w:val="24"/>
                <w:szCs w:val="24"/>
              </w:rPr>
              <w:t>IgG</w:t>
            </w:r>
            <w:proofErr w:type="spellEnd"/>
            <w:r>
              <w:rPr>
                <w:rFonts w:ascii="Arial" w:hAnsi="Arial" w:cs="Arial"/>
                <w:sz w:val="24"/>
                <w:szCs w:val="24"/>
              </w:rPr>
              <w:t xml:space="preserve"> de por lo menos 5–6 g/l</w:t>
            </w:r>
          </w:p>
        </w:tc>
      </w:tr>
      <w:tr w:rsidR="00936278" w:rsidTr="00936278">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Síndromes de inmunodeficiencia secundaria </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0.2–0.4 g/kg pc </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cada 3–4 semanas para alcanzar concentraciones mínimas de </w:t>
            </w:r>
            <w:proofErr w:type="spellStart"/>
            <w:r>
              <w:rPr>
                <w:rFonts w:ascii="Arial" w:hAnsi="Arial" w:cs="Arial"/>
                <w:sz w:val="24"/>
                <w:szCs w:val="24"/>
              </w:rPr>
              <w:t>IgG</w:t>
            </w:r>
            <w:proofErr w:type="spellEnd"/>
            <w:r>
              <w:rPr>
                <w:rFonts w:ascii="Arial" w:hAnsi="Arial" w:cs="Arial"/>
                <w:sz w:val="24"/>
                <w:szCs w:val="24"/>
              </w:rPr>
              <w:t xml:space="preserve"> de por lo menos 4–6 g/l</w:t>
            </w:r>
          </w:p>
        </w:tc>
      </w:tr>
      <w:tr w:rsidR="00936278" w:rsidTr="00936278">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Niños con infección de VIH congénita e infecciones recurrentes</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0.2–0.4 g/kg pc </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cada 3–4 semanas</w:t>
            </w:r>
          </w:p>
        </w:tc>
      </w:tr>
      <w:tr w:rsidR="00936278" w:rsidTr="00936278">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proofErr w:type="spellStart"/>
            <w:r>
              <w:rPr>
                <w:rFonts w:ascii="Arial" w:hAnsi="Arial" w:cs="Arial"/>
                <w:sz w:val="24"/>
                <w:szCs w:val="24"/>
              </w:rPr>
              <w:t>Inmunomodulación</w:t>
            </w:r>
            <w:proofErr w:type="spellEnd"/>
            <w:r>
              <w:rPr>
                <w:rFonts w:ascii="Arial" w:hAnsi="Arial" w:cs="Arial"/>
                <w:sz w:val="24"/>
                <w:szCs w:val="24"/>
              </w:rPr>
              <w:t xml:space="preserve"> </w:t>
            </w:r>
          </w:p>
          <w:p w:rsidR="00936278" w:rsidRDefault="00936278">
            <w:pPr>
              <w:spacing w:line="240" w:lineRule="auto"/>
              <w:rPr>
                <w:rFonts w:ascii="Arial" w:hAnsi="Arial" w:cs="Arial"/>
                <w:sz w:val="24"/>
                <w:szCs w:val="24"/>
              </w:rPr>
            </w:pPr>
            <w:r>
              <w:rPr>
                <w:rFonts w:ascii="Arial" w:hAnsi="Arial" w:cs="Arial"/>
                <w:sz w:val="24"/>
                <w:szCs w:val="24"/>
              </w:rPr>
              <w:t xml:space="preserve">Púrpura </w:t>
            </w:r>
            <w:proofErr w:type="spellStart"/>
            <w:r>
              <w:rPr>
                <w:rFonts w:ascii="Arial" w:hAnsi="Arial" w:cs="Arial"/>
                <w:sz w:val="24"/>
                <w:szCs w:val="24"/>
              </w:rPr>
              <w:t>trombocitopénica</w:t>
            </w:r>
            <w:proofErr w:type="spellEnd"/>
            <w:r>
              <w:rPr>
                <w:rFonts w:ascii="Arial" w:hAnsi="Arial" w:cs="Arial"/>
                <w:sz w:val="24"/>
                <w:szCs w:val="24"/>
              </w:rPr>
              <w:t xml:space="preserve"> inmunológica</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0.8–1 g/kg pc </w:t>
            </w:r>
          </w:p>
          <w:p w:rsidR="00936278" w:rsidRDefault="00936278">
            <w:pPr>
              <w:spacing w:line="240" w:lineRule="auto"/>
              <w:rPr>
                <w:rFonts w:ascii="Arial" w:hAnsi="Arial" w:cs="Arial"/>
                <w:sz w:val="24"/>
                <w:szCs w:val="24"/>
              </w:rPr>
            </w:pPr>
            <w:r>
              <w:rPr>
                <w:rFonts w:ascii="Arial" w:hAnsi="Arial" w:cs="Arial"/>
                <w:sz w:val="24"/>
                <w:szCs w:val="24"/>
              </w:rPr>
              <w:t>o</w:t>
            </w:r>
          </w:p>
          <w:p w:rsidR="00936278" w:rsidRDefault="00936278">
            <w:pPr>
              <w:spacing w:line="240" w:lineRule="auto"/>
              <w:rPr>
                <w:rFonts w:ascii="Arial" w:hAnsi="Arial" w:cs="Arial"/>
                <w:sz w:val="24"/>
                <w:szCs w:val="24"/>
              </w:rPr>
            </w:pPr>
            <w:r>
              <w:rPr>
                <w:rFonts w:ascii="Arial" w:hAnsi="Arial" w:cs="Arial"/>
                <w:sz w:val="24"/>
                <w:szCs w:val="24"/>
              </w:rPr>
              <w:t xml:space="preserve"> </w:t>
            </w:r>
          </w:p>
          <w:p w:rsidR="00936278" w:rsidRDefault="00936278">
            <w:pPr>
              <w:spacing w:line="240" w:lineRule="auto"/>
              <w:rPr>
                <w:rFonts w:ascii="Arial" w:hAnsi="Arial" w:cs="Arial"/>
                <w:sz w:val="24"/>
                <w:szCs w:val="24"/>
              </w:rPr>
            </w:pPr>
            <w:r>
              <w:rPr>
                <w:rFonts w:ascii="Arial" w:hAnsi="Arial" w:cs="Arial"/>
                <w:sz w:val="24"/>
                <w:szCs w:val="24"/>
              </w:rPr>
              <w:t xml:space="preserve">0.4 g/kg pc/día </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el primer día; la terapia se puede repetir una vez en el término de 3 días</w:t>
            </w:r>
          </w:p>
          <w:p w:rsidR="00936278" w:rsidRDefault="00936278">
            <w:pPr>
              <w:spacing w:line="240" w:lineRule="auto"/>
              <w:rPr>
                <w:rFonts w:ascii="Arial" w:hAnsi="Arial" w:cs="Arial"/>
                <w:sz w:val="24"/>
                <w:szCs w:val="24"/>
              </w:rPr>
            </w:pPr>
            <w:r>
              <w:rPr>
                <w:rFonts w:ascii="Arial" w:hAnsi="Arial" w:cs="Arial"/>
                <w:sz w:val="24"/>
                <w:szCs w:val="24"/>
              </w:rPr>
              <w:t>durante 2–5 días</w:t>
            </w:r>
          </w:p>
        </w:tc>
      </w:tr>
      <w:tr w:rsidR="00936278" w:rsidTr="00936278">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Síndrome de </w:t>
            </w:r>
            <w:proofErr w:type="spellStart"/>
            <w:r>
              <w:rPr>
                <w:rFonts w:ascii="Arial" w:hAnsi="Arial" w:cs="Arial"/>
                <w:sz w:val="24"/>
                <w:szCs w:val="24"/>
              </w:rPr>
              <w:t>Guillain</w:t>
            </w:r>
            <w:proofErr w:type="spellEnd"/>
            <w:r>
              <w:rPr>
                <w:rFonts w:ascii="Arial" w:hAnsi="Arial" w:cs="Arial"/>
                <w:sz w:val="24"/>
                <w:szCs w:val="24"/>
              </w:rPr>
              <w:t>-Barré</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0.4 g/kg pc /día </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durante 5 días</w:t>
            </w:r>
          </w:p>
        </w:tc>
      </w:tr>
      <w:tr w:rsidR="00936278" w:rsidTr="00936278">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Enfermedad de Kawasaki </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-1.6–2 g/kg pc distribuido en varias dosis</w:t>
            </w:r>
          </w:p>
          <w:p w:rsidR="00936278" w:rsidRDefault="00936278">
            <w:pPr>
              <w:spacing w:line="240" w:lineRule="auto"/>
              <w:rPr>
                <w:rFonts w:ascii="Arial" w:hAnsi="Arial" w:cs="Arial"/>
                <w:sz w:val="24"/>
                <w:szCs w:val="24"/>
              </w:rPr>
            </w:pPr>
            <w:r>
              <w:rPr>
                <w:rFonts w:ascii="Arial" w:hAnsi="Arial" w:cs="Arial"/>
                <w:sz w:val="24"/>
                <w:szCs w:val="24"/>
              </w:rPr>
              <w:lastRenderedPageBreak/>
              <w:t>o</w:t>
            </w:r>
          </w:p>
          <w:p w:rsidR="00936278" w:rsidRDefault="00936278">
            <w:pPr>
              <w:spacing w:line="240" w:lineRule="auto"/>
              <w:rPr>
                <w:rFonts w:ascii="Arial" w:hAnsi="Arial" w:cs="Arial"/>
                <w:sz w:val="24"/>
                <w:szCs w:val="24"/>
              </w:rPr>
            </w:pPr>
            <w:r>
              <w:rPr>
                <w:rFonts w:ascii="Arial" w:hAnsi="Arial" w:cs="Arial"/>
                <w:sz w:val="24"/>
                <w:szCs w:val="24"/>
              </w:rPr>
              <w:t>-2 g/kg pc</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lastRenderedPageBreak/>
              <w:t>-durante 2–5 días, en combinación con ácido acetilsalicílico</w:t>
            </w:r>
          </w:p>
          <w:p w:rsidR="00936278" w:rsidRDefault="00936278">
            <w:pPr>
              <w:spacing w:line="240" w:lineRule="auto"/>
              <w:rPr>
                <w:rFonts w:ascii="Arial" w:hAnsi="Arial" w:cs="Arial"/>
                <w:sz w:val="24"/>
                <w:szCs w:val="24"/>
              </w:rPr>
            </w:pPr>
            <w:r>
              <w:rPr>
                <w:rFonts w:ascii="Arial" w:hAnsi="Arial" w:cs="Arial"/>
                <w:sz w:val="24"/>
                <w:szCs w:val="24"/>
              </w:rPr>
              <w:lastRenderedPageBreak/>
              <w:t>-como dosis única en combinación con ácido acetilsalicílico</w:t>
            </w:r>
          </w:p>
        </w:tc>
      </w:tr>
      <w:tr w:rsidR="00936278" w:rsidTr="00936278">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proofErr w:type="spellStart"/>
            <w:r>
              <w:rPr>
                <w:rFonts w:ascii="Arial" w:hAnsi="Arial" w:cs="Arial"/>
                <w:sz w:val="24"/>
                <w:szCs w:val="24"/>
              </w:rPr>
              <w:lastRenderedPageBreak/>
              <w:t>Polineuropatía</w:t>
            </w:r>
            <w:proofErr w:type="spellEnd"/>
            <w:r>
              <w:rPr>
                <w:rFonts w:ascii="Arial" w:hAnsi="Arial" w:cs="Arial"/>
                <w:sz w:val="24"/>
                <w:szCs w:val="24"/>
              </w:rPr>
              <w:t xml:space="preserve"> </w:t>
            </w:r>
            <w:proofErr w:type="spellStart"/>
            <w:r>
              <w:rPr>
                <w:rFonts w:ascii="Arial" w:hAnsi="Arial" w:cs="Arial"/>
                <w:sz w:val="24"/>
                <w:szCs w:val="24"/>
              </w:rPr>
              <w:t>desmielinizante</w:t>
            </w:r>
            <w:proofErr w:type="spellEnd"/>
            <w:r>
              <w:rPr>
                <w:rFonts w:ascii="Arial" w:hAnsi="Arial" w:cs="Arial"/>
                <w:sz w:val="24"/>
                <w:szCs w:val="24"/>
              </w:rPr>
              <w:t xml:space="preserve"> inflamatoria crónica (PDIC)</w:t>
            </w:r>
          </w:p>
        </w:tc>
        <w:tc>
          <w:tcPr>
            <w:tcW w:w="3371" w:type="dxa"/>
            <w:tcBorders>
              <w:top w:val="single" w:sz="4" w:space="0" w:color="auto"/>
              <w:left w:val="single" w:sz="4" w:space="0" w:color="auto"/>
              <w:bottom w:val="single" w:sz="4" w:space="0" w:color="auto"/>
              <w:right w:val="single" w:sz="4" w:space="0" w:color="auto"/>
            </w:tcBorders>
          </w:tcPr>
          <w:p w:rsidR="00936278" w:rsidRDefault="00936278">
            <w:pPr>
              <w:spacing w:line="240" w:lineRule="auto"/>
              <w:rPr>
                <w:rFonts w:ascii="Arial" w:hAnsi="Arial" w:cs="Arial"/>
                <w:sz w:val="24"/>
                <w:szCs w:val="24"/>
              </w:rPr>
            </w:pPr>
            <w:r>
              <w:rPr>
                <w:rFonts w:ascii="Arial" w:hAnsi="Arial" w:cs="Arial"/>
                <w:sz w:val="24"/>
                <w:szCs w:val="24"/>
              </w:rPr>
              <w:t xml:space="preserve">dosis inicial 2 g/kg pc </w:t>
            </w:r>
          </w:p>
          <w:p w:rsidR="00936278" w:rsidRDefault="00936278">
            <w:pPr>
              <w:spacing w:line="240" w:lineRule="auto"/>
              <w:rPr>
                <w:rFonts w:ascii="Arial" w:hAnsi="Arial" w:cs="Arial"/>
                <w:sz w:val="24"/>
                <w:szCs w:val="24"/>
              </w:rPr>
            </w:pPr>
          </w:p>
          <w:p w:rsidR="00936278" w:rsidRDefault="00936278">
            <w:pPr>
              <w:spacing w:line="240" w:lineRule="auto"/>
              <w:rPr>
                <w:rFonts w:ascii="Arial" w:hAnsi="Arial" w:cs="Arial"/>
                <w:sz w:val="24"/>
                <w:szCs w:val="24"/>
              </w:rPr>
            </w:pPr>
            <w:r>
              <w:rPr>
                <w:rFonts w:ascii="Arial" w:hAnsi="Arial" w:cs="Arial"/>
                <w:sz w:val="24"/>
                <w:szCs w:val="24"/>
              </w:rPr>
              <w:t>dosis de mantenimiento: 1 g/kg pc</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en dosis divididas durante2–5 días </w:t>
            </w:r>
          </w:p>
          <w:p w:rsidR="00936278" w:rsidRDefault="00936278">
            <w:pPr>
              <w:spacing w:line="240" w:lineRule="auto"/>
              <w:rPr>
                <w:rFonts w:ascii="Arial" w:hAnsi="Arial" w:cs="Arial"/>
                <w:sz w:val="24"/>
                <w:szCs w:val="24"/>
              </w:rPr>
            </w:pPr>
            <w:r>
              <w:rPr>
                <w:rFonts w:ascii="Arial" w:hAnsi="Arial" w:cs="Arial"/>
                <w:sz w:val="24"/>
                <w:szCs w:val="24"/>
              </w:rPr>
              <w:t>cada 3 semanas durante1–2 días</w:t>
            </w:r>
          </w:p>
        </w:tc>
      </w:tr>
      <w:tr w:rsidR="00936278" w:rsidTr="00936278">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proofErr w:type="spellStart"/>
            <w:r>
              <w:rPr>
                <w:rFonts w:ascii="Arial" w:hAnsi="Arial" w:cs="Arial"/>
                <w:sz w:val="24"/>
                <w:szCs w:val="24"/>
              </w:rPr>
              <w:t>Alotrasplante</w:t>
            </w:r>
            <w:proofErr w:type="spellEnd"/>
            <w:r>
              <w:rPr>
                <w:rFonts w:ascii="Arial" w:hAnsi="Arial" w:cs="Arial"/>
                <w:sz w:val="24"/>
                <w:szCs w:val="24"/>
              </w:rPr>
              <w:t xml:space="preserve"> de médula ósea</w:t>
            </w:r>
          </w:p>
          <w:p w:rsidR="00936278" w:rsidRDefault="00936278">
            <w:pPr>
              <w:spacing w:line="240" w:lineRule="auto"/>
              <w:rPr>
                <w:rFonts w:ascii="Arial" w:hAnsi="Arial" w:cs="Arial"/>
                <w:sz w:val="24"/>
                <w:szCs w:val="24"/>
              </w:rPr>
            </w:pPr>
            <w:r>
              <w:rPr>
                <w:rFonts w:ascii="Arial" w:hAnsi="Arial" w:cs="Arial"/>
                <w:sz w:val="24"/>
                <w:szCs w:val="24"/>
              </w:rPr>
              <w:t xml:space="preserve">– Tratamiento de infecciones y prevención de la reacción del injerto contra el huésped </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0.5 g/kg pc</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semanalmente, desde 7 días antes hasta 3 meses después del trasplante</w:t>
            </w:r>
          </w:p>
        </w:tc>
      </w:tr>
      <w:tr w:rsidR="00936278" w:rsidTr="00936278">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 Déficit persistente de producción de anticuerpos </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 xml:space="preserve">0.5 g/kg pc </w:t>
            </w:r>
          </w:p>
        </w:tc>
        <w:tc>
          <w:tcPr>
            <w:tcW w:w="3371" w:type="dxa"/>
            <w:tcBorders>
              <w:top w:val="single" w:sz="4" w:space="0" w:color="auto"/>
              <w:left w:val="single" w:sz="4" w:space="0" w:color="auto"/>
              <w:bottom w:val="single" w:sz="4" w:space="0" w:color="auto"/>
              <w:right w:val="single" w:sz="4" w:space="0" w:color="auto"/>
            </w:tcBorders>
            <w:hideMark/>
          </w:tcPr>
          <w:p w:rsidR="00936278" w:rsidRDefault="00936278">
            <w:pPr>
              <w:spacing w:line="240" w:lineRule="auto"/>
              <w:rPr>
                <w:rFonts w:ascii="Arial" w:hAnsi="Arial" w:cs="Arial"/>
                <w:sz w:val="24"/>
                <w:szCs w:val="24"/>
              </w:rPr>
            </w:pPr>
            <w:r>
              <w:rPr>
                <w:rFonts w:ascii="Arial" w:hAnsi="Arial" w:cs="Arial"/>
                <w:sz w:val="24"/>
                <w:szCs w:val="24"/>
              </w:rPr>
              <w:t>mensualmente hasta la normalización del nivel de anticuerpos</w:t>
            </w:r>
          </w:p>
        </w:tc>
      </w:tr>
    </w:tbl>
    <w:p w:rsidR="00936278" w:rsidRDefault="00936278" w:rsidP="00936278">
      <w:pPr>
        <w:rPr>
          <w:rFonts w:ascii="Arial" w:hAnsi="Arial" w:cs="Arial"/>
          <w:sz w:val="24"/>
          <w:szCs w:val="24"/>
          <w:lang w:val="es-ES"/>
        </w:rPr>
      </w:pPr>
      <w:proofErr w:type="gramStart"/>
      <w:r>
        <w:rPr>
          <w:rFonts w:ascii="Arial" w:hAnsi="Arial" w:cs="Arial"/>
          <w:sz w:val="24"/>
          <w:szCs w:val="24"/>
          <w:lang w:val="es-ES"/>
        </w:rPr>
        <w:t>pc</w:t>
      </w:r>
      <w:proofErr w:type="gramEnd"/>
      <w:r>
        <w:rPr>
          <w:rFonts w:ascii="Arial" w:hAnsi="Arial" w:cs="Arial"/>
          <w:sz w:val="24"/>
          <w:szCs w:val="24"/>
          <w:lang w:val="es-ES"/>
        </w:rPr>
        <w:t xml:space="preserve"> = peso corporal</w:t>
      </w:r>
    </w:p>
    <w:p w:rsidR="00936278" w:rsidRDefault="00936278" w:rsidP="00936278">
      <w:pPr>
        <w:rPr>
          <w:rFonts w:ascii="Arial" w:hAnsi="Arial" w:cs="Arial"/>
          <w:sz w:val="24"/>
          <w:szCs w:val="24"/>
          <w:lang w:val="es-ES"/>
        </w:rPr>
      </w:pPr>
    </w:p>
    <w:p w:rsidR="00936278" w:rsidRDefault="00936278" w:rsidP="00936278">
      <w:pPr>
        <w:rPr>
          <w:rFonts w:ascii="Arial" w:hAnsi="Arial" w:cs="Arial"/>
          <w:sz w:val="24"/>
          <w:szCs w:val="24"/>
          <w:u w:val="single"/>
          <w:lang w:val="es-ES"/>
        </w:rPr>
      </w:pPr>
      <w:r>
        <w:rPr>
          <w:rFonts w:ascii="Arial" w:hAnsi="Arial" w:cs="Arial"/>
          <w:sz w:val="24"/>
          <w:szCs w:val="24"/>
          <w:u w:val="single"/>
          <w:lang w:val="es-ES"/>
        </w:rPr>
        <w:t>Uso del producto en niños</w:t>
      </w:r>
    </w:p>
    <w:p w:rsidR="00936278" w:rsidRDefault="00936278" w:rsidP="00936278">
      <w:pPr>
        <w:rPr>
          <w:rFonts w:ascii="Arial" w:hAnsi="Arial" w:cs="Arial"/>
          <w:sz w:val="24"/>
          <w:szCs w:val="24"/>
          <w:lang w:val="es-ES"/>
        </w:rPr>
      </w:pPr>
      <w:r>
        <w:rPr>
          <w:rFonts w:ascii="Arial" w:hAnsi="Arial" w:cs="Arial"/>
          <w:sz w:val="24"/>
          <w:szCs w:val="24"/>
          <w:lang w:val="es-ES"/>
        </w:rPr>
        <w:t>En el estudio fundamental de fase III que se realizó en pacientes con enfermedades de inmunodeficiencia primaria (n=80), se trató a 19 pacientes de entre 3 y 11 años de edad y a 15 pacientes de entre 12 y 18 años de edad.</w:t>
      </w:r>
    </w:p>
    <w:p w:rsidR="00936278" w:rsidRDefault="00936278" w:rsidP="00936278">
      <w:pPr>
        <w:rPr>
          <w:rFonts w:ascii="Arial" w:hAnsi="Arial" w:cs="Arial"/>
          <w:sz w:val="24"/>
          <w:szCs w:val="24"/>
          <w:lang w:val="es-ES"/>
        </w:rPr>
      </w:pPr>
      <w:r>
        <w:rPr>
          <w:rFonts w:ascii="Arial" w:hAnsi="Arial" w:cs="Arial"/>
          <w:sz w:val="24"/>
          <w:szCs w:val="24"/>
          <w:lang w:val="es-ES"/>
        </w:rPr>
        <w:t>En un estudio de extensión realizado en pacientes con enfermedades de inmunodeficiencia primaria (n=55), se trató a 13 pacientes de edades comprendidas entre 3 y 11 años y a 11 pacientes de edades comprendidas entre 12 y 18 años.</w:t>
      </w:r>
    </w:p>
    <w:p w:rsidR="00936278" w:rsidRDefault="00936278" w:rsidP="00936278">
      <w:pPr>
        <w:rPr>
          <w:rFonts w:ascii="Arial" w:hAnsi="Arial" w:cs="Arial"/>
          <w:sz w:val="24"/>
          <w:szCs w:val="24"/>
          <w:lang w:val="es-ES"/>
        </w:rPr>
      </w:pPr>
      <w:r>
        <w:rPr>
          <w:rFonts w:ascii="Arial" w:hAnsi="Arial" w:cs="Arial"/>
          <w:sz w:val="24"/>
          <w:szCs w:val="24"/>
          <w:lang w:val="es-ES"/>
        </w:rPr>
        <w:t xml:space="preserve">En un estudio clínico con 57 pacientes con púrpura </w:t>
      </w:r>
      <w:proofErr w:type="spellStart"/>
      <w:r>
        <w:rPr>
          <w:rFonts w:ascii="Arial" w:hAnsi="Arial" w:cs="Arial"/>
          <w:sz w:val="24"/>
          <w:szCs w:val="24"/>
          <w:lang w:val="es-ES"/>
        </w:rPr>
        <w:t>trombocitopénica</w:t>
      </w:r>
      <w:proofErr w:type="spellEnd"/>
      <w:r>
        <w:rPr>
          <w:rFonts w:ascii="Arial" w:hAnsi="Arial" w:cs="Arial"/>
          <w:sz w:val="24"/>
          <w:szCs w:val="24"/>
          <w:lang w:val="es-ES"/>
        </w:rPr>
        <w:t xml:space="preserve"> inmunológica crónica, se trató a 2 pacientes pediátricos (de 15 y 16 años de edad). No se necesitó ajuste de dosis para niños en ninguno de estos tres estudios.</w:t>
      </w:r>
    </w:p>
    <w:p w:rsidR="00936278" w:rsidRDefault="00936278" w:rsidP="00936278">
      <w:pPr>
        <w:rPr>
          <w:rFonts w:ascii="Arial" w:hAnsi="Arial" w:cs="Arial"/>
          <w:sz w:val="24"/>
          <w:szCs w:val="24"/>
          <w:lang w:val="es-ES"/>
        </w:rPr>
      </w:pPr>
      <w:r>
        <w:rPr>
          <w:rFonts w:ascii="Arial" w:hAnsi="Arial" w:cs="Arial"/>
          <w:sz w:val="24"/>
          <w:szCs w:val="24"/>
          <w:lang w:val="es-ES"/>
        </w:rPr>
        <w:t xml:space="preserve">Los reportes de la bibliografía indican que las inmunoglobulinas intravenosas son eficaces en niños con PDIC. Sin embargo, no hay datos disponibles acerca de </w:t>
      </w:r>
      <w:proofErr w:type="spellStart"/>
      <w:r>
        <w:rPr>
          <w:rFonts w:ascii="Arial" w:hAnsi="Arial" w:cs="Arial"/>
          <w:sz w:val="24"/>
          <w:szCs w:val="24"/>
          <w:lang w:val="es-ES"/>
        </w:rPr>
        <w:t>Privigen</w:t>
      </w:r>
      <w:proofErr w:type="spellEnd"/>
      <w:r>
        <w:rPr>
          <w:rFonts w:ascii="Arial" w:hAnsi="Arial" w:cs="Arial"/>
          <w:sz w:val="24"/>
          <w:szCs w:val="24"/>
          <w:lang w:val="es-ES"/>
        </w:rPr>
        <w:t xml:space="preserve"> al respecto.</w:t>
      </w:r>
    </w:p>
    <w:p w:rsidR="00936278" w:rsidRDefault="00936278" w:rsidP="00936278">
      <w:pPr>
        <w:rPr>
          <w:rFonts w:ascii="Arial" w:hAnsi="Arial" w:cs="Arial"/>
          <w:sz w:val="24"/>
          <w:szCs w:val="24"/>
          <w:lang w:val="es-ES"/>
        </w:rPr>
      </w:pPr>
    </w:p>
    <w:p w:rsidR="00936278" w:rsidRDefault="00936278" w:rsidP="00936278">
      <w:pPr>
        <w:rPr>
          <w:rFonts w:ascii="Arial" w:hAnsi="Arial" w:cs="Arial"/>
          <w:b/>
          <w:bCs/>
          <w:sz w:val="24"/>
          <w:szCs w:val="24"/>
          <w:lang w:val="es-ES"/>
        </w:rPr>
      </w:pPr>
      <w:r>
        <w:rPr>
          <w:rFonts w:ascii="Arial" w:hAnsi="Arial" w:cs="Arial"/>
          <w:b/>
          <w:bCs/>
          <w:sz w:val="24"/>
          <w:szCs w:val="24"/>
          <w:lang w:val="es-ES"/>
        </w:rPr>
        <w:t>Método de administración</w:t>
      </w:r>
    </w:p>
    <w:p w:rsidR="00936278" w:rsidRDefault="00936278" w:rsidP="00936278">
      <w:pPr>
        <w:rPr>
          <w:rFonts w:ascii="Arial" w:hAnsi="Arial" w:cs="Arial"/>
          <w:sz w:val="24"/>
          <w:szCs w:val="24"/>
          <w:lang w:val="es-ES"/>
        </w:rPr>
      </w:pPr>
      <w:proofErr w:type="spellStart"/>
      <w:r>
        <w:rPr>
          <w:rFonts w:ascii="Arial" w:hAnsi="Arial" w:cs="Arial"/>
          <w:sz w:val="24"/>
          <w:szCs w:val="24"/>
          <w:lang w:val="es-ES"/>
        </w:rPr>
        <w:t>Privigen</w:t>
      </w:r>
      <w:proofErr w:type="spellEnd"/>
      <w:r>
        <w:rPr>
          <w:rFonts w:ascii="Arial" w:hAnsi="Arial" w:cs="Arial"/>
          <w:sz w:val="24"/>
          <w:szCs w:val="24"/>
          <w:lang w:val="es-ES"/>
        </w:rPr>
        <w:t xml:space="preserve"> debe infundirse por vía intravenosa.</w:t>
      </w:r>
    </w:p>
    <w:p w:rsidR="00936278" w:rsidRDefault="00936278" w:rsidP="00936278">
      <w:pPr>
        <w:rPr>
          <w:rFonts w:ascii="Arial" w:hAnsi="Arial" w:cs="Arial"/>
          <w:sz w:val="24"/>
          <w:szCs w:val="24"/>
          <w:u w:val="single"/>
          <w:lang w:val="es-ES"/>
        </w:rPr>
      </w:pPr>
      <w:r>
        <w:rPr>
          <w:rFonts w:ascii="Arial" w:hAnsi="Arial" w:cs="Arial"/>
          <w:sz w:val="24"/>
          <w:szCs w:val="24"/>
          <w:u w:val="single"/>
          <w:lang w:val="es-ES"/>
        </w:rPr>
        <w:t>Velocidad de infusión</w:t>
      </w:r>
    </w:p>
    <w:p w:rsidR="00936278" w:rsidRDefault="00936278" w:rsidP="00936278">
      <w:pPr>
        <w:rPr>
          <w:rFonts w:ascii="Arial" w:hAnsi="Arial" w:cs="Arial"/>
          <w:sz w:val="24"/>
          <w:szCs w:val="24"/>
          <w:lang w:val="es-ES"/>
        </w:rPr>
      </w:pPr>
      <w:r>
        <w:rPr>
          <w:rFonts w:ascii="Arial" w:hAnsi="Arial" w:cs="Arial"/>
          <w:sz w:val="24"/>
          <w:szCs w:val="24"/>
          <w:lang w:val="es-ES"/>
        </w:rPr>
        <w:t>Se debe infundir a una velocidad de infusión inicial de 0.3 ml/kg pc/h (durante aprox. 30 minutos).</w:t>
      </w:r>
    </w:p>
    <w:p w:rsidR="00936278" w:rsidRDefault="00936278" w:rsidP="00936278">
      <w:pPr>
        <w:rPr>
          <w:rFonts w:ascii="Arial" w:hAnsi="Arial" w:cs="Arial"/>
          <w:sz w:val="24"/>
          <w:szCs w:val="24"/>
          <w:lang w:val="es-ES"/>
        </w:rPr>
      </w:pPr>
      <w:r>
        <w:rPr>
          <w:rFonts w:ascii="Arial" w:hAnsi="Arial" w:cs="Arial"/>
          <w:sz w:val="24"/>
          <w:szCs w:val="24"/>
          <w:lang w:val="es-ES"/>
        </w:rPr>
        <w:t>Si se tolera bien, la velocidad de infusión puede aumentarse gradualmente hasta 4.8 ml/kg pc/h.</w:t>
      </w:r>
    </w:p>
    <w:p w:rsidR="00936278" w:rsidRDefault="00936278" w:rsidP="00936278">
      <w:pPr>
        <w:rPr>
          <w:rFonts w:ascii="Arial" w:hAnsi="Arial" w:cs="Arial"/>
          <w:sz w:val="24"/>
          <w:szCs w:val="24"/>
          <w:lang w:val="es-ES"/>
        </w:rPr>
      </w:pPr>
      <w:r>
        <w:rPr>
          <w:rFonts w:ascii="Arial" w:hAnsi="Arial" w:cs="Arial"/>
          <w:sz w:val="24"/>
          <w:szCs w:val="24"/>
          <w:lang w:val="es-ES"/>
        </w:rPr>
        <w:lastRenderedPageBreak/>
        <w:t xml:space="preserve">En pacientes con síndrome de inmunodeficiencia que han tolerado bien la terapia de sustitución con </w:t>
      </w:r>
      <w:proofErr w:type="spellStart"/>
      <w:r>
        <w:rPr>
          <w:rFonts w:ascii="Arial" w:hAnsi="Arial" w:cs="Arial"/>
          <w:sz w:val="24"/>
          <w:szCs w:val="24"/>
          <w:lang w:val="es-ES"/>
        </w:rPr>
        <w:t>Privigen</w:t>
      </w:r>
      <w:proofErr w:type="spellEnd"/>
      <w:r>
        <w:rPr>
          <w:rFonts w:ascii="Arial" w:hAnsi="Arial" w:cs="Arial"/>
          <w:sz w:val="24"/>
          <w:szCs w:val="24"/>
          <w:lang w:val="es-ES"/>
        </w:rPr>
        <w:t>, se puede aumentar gradualmente la velocidad de infusión hasta un valor máximo de 7.2 ml/kg pc/h.</w:t>
      </w:r>
    </w:p>
    <w:p w:rsidR="00936278" w:rsidRDefault="00936278" w:rsidP="00936278">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Interacción con Medicamentos y Alimentos:</w:t>
      </w:r>
    </w:p>
    <w:p w:rsidR="00936278" w:rsidRDefault="00936278" w:rsidP="00936278">
      <w:pPr>
        <w:rPr>
          <w:rFonts w:ascii="Arial" w:hAnsi="Arial" w:cs="Arial"/>
          <w:b/>
          <w:bCs/>
          <w:sz w:val="24"/>
          <w:szCs w:val="24"/>
          <w:lang w:val="es-ES"/>
        </w:rPr>
      </w:pPr>
      <w:r>
        <w:rPr>
          <w:rFonts w:ascii="Arial" w:hAnsi="Arial" w:cs="Arial"/>
          <w:b/>
          <w:bCs/>
          <w:sz w:val="24"/>
          <w:szCs w:val="24"/>
          <w:lang w:val="es-ES"/>
        </w:rPr>
        <w:t>Vacunas con virus vivos atenuados</w:t>
      </w:r>
    </w:p>
    <w:p w:rsidR="00936278" w:rsidRDefault="00936278" w:rsidP="00936278">
      <w:pPr>
        <w:rPr>
          <w:rFonts w:ascii="Arial" w:hAnsi="Arial" w:cs="Arial"/>
          <w:sz w:val="24"/>
          <w:szCs w:val="24"/>
          <w:lang w:val="es-ES"/>
        </w:rPr>
      </w:pPr>
      <w:r>
        <w:rPr>
          <w:rFonts w:ascii="Arial" w:hAnsi="Arial" w:cs="Arial"/>
          <w:sz w:val="24"/>
          <w:szCs w:val="24"/>
          <w:lang w:val="es-ES"/>
        </w:rPr>
        <w:t xml:space="preserve">La administración de inmunoglobulinas puede reducir la eficacia de las vacunas con virus vivos atenuados, como la vacuna </w:t>
      </w:r>
      <w:proofErr w:type="spellStart"/>
      <w:r>
        <w:rPr>
          <w:rFonts w:ascii="Arial" w:hAnsi="Arial" w:cs="Arial"/>
          <w:sz w:val="24"/>
          <w:szCs w:val="24"/>
          <w:lang w:val="es-ES"/>
        </w:rPr>
        <w:t>antisarampión</w:t>
      </w:r>
      <w:proofErr w:type="spellEnd"/>
      <w:r>
        <w:rPr>
          <w:rFonts w:ascii="Arial" w:hAnsi="Arial" w:cs="Arial"/>
          <w:sz w:val="24"/>
          <w:szCs w:val="24"/>
          <w:lang w:val="es-ES"/>
        </w:rPr>
        <w:t xml:space="preserve">, </w:t>
      </w:r>
      <w:proofErr w:type="spellStart"/>
      <w:r>
        <w:rPr>
          <w:rFonts w:ascii="Arial" w:hAnsi="Arial" w:cs="Arial"/>
          <w:sz w:val="24"/>
          <w:szCs w:val="24"/>
          <w:lang w:val="es-ES"/>
        </w:rPr>
        <w:t>antiparotiditis</w:t>
      </w:r>
      <w:proofErr w:type="spellEnd"/>
      <w:r>
        <w:rPr>
          <w:rFonts w:ascii="Arial" w:hAnsi="Arial" w:cs="Arial"/>
          <w:sz w:val="24"/>
          <w:szCs w:val="24"/>
          <w:lang w:val="es-ES"/>
        </w:rPr>
        <w:t xml:space="preserve">, </w:t>
      </w:r>
      <w:proofErr w:type="spellStart"/>
      <w:r>
        <w:rPr>
          <w:rFonts w:ascii="Arial" w:hAnsi="Arial" w:cs="Arial"/>
          <w:sz w:val="24"/>
          <w:szCs w:val="24"/>
          <w:lang w:val="es-ES"/>
        </w:rPr>
        <w:t>antirrubeola</w:t>
      </w:r>
      <w:proofErr w:type="spellEnd"/>
      <w:r>
        <w:rPr>
          <w:rFonts w:ascii="Arial" w:hAnsi="Arial" w:cs="Arial"/>
          <w:sz w:val="24"/>
          <w:szCs w:val="24"/>
          <w:lang w:val="es-ES"/>
        </w:rPr>
        <w:t xml:space="preserve"> y </w:t>
      </w:r>
      <w:proofErr w:type="spellStart"/>
      <w:r>
        <w:rPr>
          <w:rFonts w:ascii="Arial" w:hAnsi="Arial" w:cs="Arial"/>
          <w:sz w:val="24"/>
          <w:szCs w:val="24"/>
          <w:lang w:val="es-ES"/>
        </w:rPr>
        <w:t>antivaricela</w:t>
      </w:r>
      <w:proofErr w:type="spellEnd"/>
      <w:r>
        <w:rPr>
          <w:rFonts w:ascii="Arial" w:hAnsi="Arial" w:cs="Arial"/>
          <w:sz w:val="24"/>
          <w:szCs w:val="24"/>
          <w:lang w:val="es-ES"/>
        </w:rPr>
        <w:t>, durante un periodo mínimo de 6 semanas y de hasta 3 meses. Después de la administración de este medicamento debe transcurrir un intervalo de 3 meses antes de la administración de vacunas con virus vivos atenuados. En el caso de la del sarampión, esta reducción de la eficacia puede persistir hasta un año. Por lo tanto, se debe controlar la concentración de anticuerpos en los pacientes que reciban la vacuna contra el sarampión.</w:t>
      </w:r>
    </w:p>
    <w:p w:rsidR="00936278" w:rsidRDefault="00936278" w:rsidP="00936278">
      <w:pPr>
        <w:rPr>
          <w:rFonts w:ascii="Arial" w:hAnsi="Arial" w:cs="Arial"/>
          <w:b/>
          <w:bCs/>
          <w:sz w:val="24"/>
          <w:szCs w:val="24"/>
          <w:lang w:val="es-ES"/>
        </w:rPr>
      </w:pPr>
      <w:r>
        <w:rPr>
          <w:rFonts w:ascii="Arial" w:hAnsi="Arial" w:cs="Arial"/>
          <w:b/>
          <w:bCs/>
          <w:sz w:val="24"/>
          <w:szCs w:val="24"/>
          <w:lang w:val="es-ES"/>
        </w:rPr>
        <w:t>Población pediátrica</w:t>
      </w:r>
    </w:p>
    <w:p w:rsidR="00936278" w:rsidRDefault="00936278" w:rsidP="00936278">
      <w:pPr>
        <w:rPr>
          <w:rFonts w:ascii="Arial" w:hAnsi="Arial" w:cs="Arial"/>
          <w:sz w:val="24"/>
          <w:szCs w:val="24"/>
          <w:lang w:val="es-ES"/>
        </w:rPr>
      </w:pPr>
      <w:r>
        <w:rPr>
          <w:rFonts w:ascii="Arial" w:hAnsi="Arial" w:cs="Arial"/>
          <w:sz w:val="24"/>
          <w:szCs w:val="24"/>
          <w:lang w:val="es-ES"/>
        </w:rPr>
        <w:t>Aunque los datos disponibles son limitados, se espera que se produzcan las mismas interacciones en la población pediátrica.</w:t>
      </w:r>
    </w:p>
    <w:p w:rsidR="00936278" w:rsidRDefault="00936278" w:rsidP="00936278">
      <w:pPr>
        <w:rPr>
          <w:rFonts w:ascii="Arial" w:hAnsi="Arial" w:cs="Arial"/>
          <w:bCs/>
          <w:sz w:val="24"/>
          <w:szCs w:val="24"/>
          <w:u w:val="single"/>
          <w:lang w:val="es-ES"/>
        </w:rPr>
      </w:pPr>
      <w:r>
        <w:rPr>
          <w:rFonts w:ascii="Arial" w:hAnsi="Arial" w:cs="Arial"/>
          <w:bCs/>
          <w:sz w:val="24"/>
          <w:szCs w:val="24"/>
          <w:u w:val="single"/>
          <w:lang w:val="es-ES"/>
        </w:rPr>
        <w:t>Incompatibilidades</w:t>
      </w:r>
    </w:p>
    <w:p w:rsidR="00936278" w:rsidRDefault="00936278" w:rsidP="00936278">
      <w:pPr>
        <w:rPr>
          <w:rFonts w:ascii="Arial" w:hAnsi="Arial" w:cs="Arial"/>
          <w:sz w:val="24"/>
          <w:szCs w:val="24"/>
          <w:lang w:val="es-ES"/>
        </w:rPr>
      </w:pPr>
      <w:r>
        <w:rPr>
          <w:rFonts w:ascii="Arial" w:hAnsi="Arial" w:cs="Arial"/>
          <w:sz w:val="24"/>
          <w:szCs w:val="24"/>
          <w:lang w:val="es-ES"/>
        </w:rPr>
        <w:t>Este medicamento no debe mezclarse con otros medicamentos ni con solución salina fisiológica.</w:t>
      </w:r>
    </w:p>
    <w:p w:rsidR="00936278" w:rsidRDefault="00936278" w:rsidP="00936278">
      <w:pPr>
        <w:rPr>
          <w:rFonts w:ascii="Arial" w:hAnsi="Arial" w:cs="Arial"/>
          <w:sz w:val="24"/>
          <w:szCs w:val="24"/>
          <w:lang w:val="es-ES"/>
        </w:rPr>
      </w:pPr>
      <w:r>
        <w:rPr>
          <w:rFonts w:ascii="Arial" w:hAnsi="Arial" w:cs="Arial"/>
          <w:sz w:val="24"/>
          <w:szCs w:val="24"/>
          <w:lang w:val="es-ES"/>
        </w:rPr>
        <w:t>No obstante, se permite la dilución con una solución de glucosa al 5%.</w:t>
      </w:r>
    </w:p>
    <w:p w:rsidR="00936278" w:rsidRDefault="00936278" w:rsidP="00936278">
      <w:pPr>
        <w:rPr>
          <w:rFonts w:ascii="Arial" w:hAnsi="Arial" w:cs="Arial"/>
          <w:sz w:val="24"/>
          <w:szCs w:val="24"/>
          <w:lang w:val="es-ES"/>
        </w:rPr>
      </w:pPr>
    </w:p>
    <w:p w:rsidR="00936278" w:rsidRDefault="00936278" w:rsidP="00936278">
      <w:pPr>
        <w:rPr>
          <w:rFonts w:ascii="Arial" w:hAnsi="Arial" w:cs="Arial"/>
          <w:bCs/>
          <w:sz w:val="24"/>
          <w:szCs w:val="24"/>
          <w:u w:val="single"/>
          <w:lang w:val="es-ES"/>
        </w:rPr>
      </w:pPr>
      <w:r>
        <w:rPr>
          <w:rFonts w:ascii="Arial" w:hAnsi="Arial" w:cs="Arial"/>
          <w:bCs/>
          <w:sz w:val="24"/>
          <w:szCs w:val="24"/>
          <w:u w:val="single"/>
          <w:lang w:val="es-ES"/>
        </w:rPr>
        <w:t>Influencia sobre métodos de diagnóstico</w:t>
      </w:r>
    </w:p>
    <w:p w:rsidR="00936278" w:rsidRDefault="00936278" w:rsidP="00936278">
      <w:pPr>
        <w:rPr>
          <w:rFonts w:ascii="Arial" w:hAnsi="Arial" w:cs="Arial"/>
          <w:sz w:val="24"/>
          <w:szCs w:val="24"/>
          <w:lang w:val="es-ES"/>
        </w:rPr>
      </w:pPr>
      <w:r>
        <w:rPr>
          <w:rFonts w:ascii="Arial" w:hAnsi="Arial" w:cs="Arial"/>
          <w:sz w:val="24"/>
          <w:szCs w:val="24"/>
          <w:lang w:val="es-ES"/>
        </w:rPr>
        <w:t>Después de la infusión de inmunoglobulinas, el incremento transitorio de los diferentes anticuerpos transmitidos de forma pasiva presentes en la sangre del paciente puede conducir a resultados falso positivos de pruebas serológicas.</w:t>
      </w:r>
    </w:p>
    <w:p w:rsidR="00936278" w:rsidRDefault="00936278" w:rsidP="00936278">
      <w:pPr>
        <w:rPr>
          <w:rFonts w:ascii="Arial" w:hAnsi="Arial" w:cs="Arial"/>
          <w:sz w:val="24"/>
          <w:szCs w:val="24"/>
          <w:lang w:val="es-ES"/>
        </w:rPr>
      </w:pPr>
      <w:r>
        <w:rPr>
          <w:rFonts w:ascii="Arial" w:hAnsi="Arial" w:cs="Arial"/>
          <w:sz w:val="24"/>
          <w:szCs w:val="24"/>
          <w:lang w:val="es-ES"/>
        </w:rPr>
        <w:t xml:space="preserve">La transmisión pasiva de anticuerpos contra antígenos </w:t>
      </w:r>
      <w:proofErr w:type="spellStart"/>
      <w:r>
        <w:rPr>
          <w:rFonts w:ascii="Arial" w:hAnsi="Arial" w:cs="Arial"/>
          <w:sz w:val="24"/>
          <w:szCs w:val="24"/>
          <w:lang w:val="es-ES"/>
        </w:rPr>
        <w:t>eritrocíticos</w:t>
      </w:r>
      <w:proofErr w:type="spellEnd"/>
      <w:r>
        <w:rPr>
          <w:rFonts w:ascii="Arial" w:hAnsi="Arial" w:cs="Arial"/>
          <w:sz w:val="24"/>
          <w:szCs w:val="24"/>
          <w:lang w:val="es-ES"/>
        </w:rPr>
        <w:t xml:space="preserve">, p.ej. A, B y D, puede llevar a resultados incorrectos en algunas pruebas serológicas de </w:t>
      </w:r>
      <w:proofErr w:type="spellStart"/>
      <w:r>
        <w:rPr>
          <w:rFonts w:ascii="Arial" w:hAnsi="Arial" w:cs="Arial"/>
          <w:sz w:val="24"/>
          <w:szCs w:val="24"/>
          <w:lang w:val="es-ES"/>
        </w:rPr>
        <w:t>aloanticuerpos</w:t>
      </w:r>
      <w:proofErr w:type="spellEnd"/>
      <w:r>
        <w:rPr>
          <w:rFonts w:ascii="Arial" w:hAnsi="Arial" w:cs="Arial"/>
          <w:sz w:val="24"/>
          <w:szCs w:val="24"/>
          <w:lang w:val="es-ES"/>
        </w:rPr>
        <w:t xml:space="preserve"> </w:t>
      </w:r>
      <w:proofErr w:type="spellStart"/>
      <w:r>
        <w:rPr>
          <w:rFonts w:ascii="Arial" w:hAnsi="Arial" w:cs="Arial"/>
          <w:sz w:val="24"/>
          <w:szCs w:val="24"/>
          <w:lang w:val="es-ES"/>
        </w:rPr>
        <w:t>eritrocíticos</w:t>
      </w:r>
      <w:proofErr w:type="spellEnd"/>
      <w:r>
        <w:rPr>
          <w:rFonts w:ascii="Arial" w:hAnsi="Arial" w:cs="Arial"/>
          <w:sz w:val="24"/>
          <w:szCs w:val="24"/>
          <w:lang w:val="es-ES"/>
        </w:rPr>
        <w:t xml:space="preserve"> (p.ej. la prueba de Coombs), determinaciones de cuenta de </w:t>
      </w:r>
      <w:proofErr w:type="spellStart"/>
      <w:r>
        <w:rPr>
          <w:rFonts w:ascii="Arial" w:hAnsi="Arial" w:cs="Arial"/>
          <w:sz w:val="24"/>
          <w:szCs w:val="24"/>
          <w:lang w:val="es-ES"/>
        </w:rPr>
        <w:t>reticulocitos</w:t>
      </w:r>
      <w:proofErr w:type="spellEnd"/>
      <w:r>
        <w:rPr>
          <w:rFonts w:ascii="Arial" w:hAnsi="Arial" w:cs="Arial"/>
          <w:sz w:val="24"/>
          <w:szCs w:val="24"/>
          <w:lang w:val="es-ES"/>
        </w:rPr>
        <w:t xml:space="preserve"> y la prueba de </w:t>
      </w:r>
      <w:proofErr w:type="spellStart"/>
      <w:r>
        <w:rPr>
          <w:rFonts w:ascii="Arial" w:hAnsi="Arial" w:cs="Arial"/>
          <w:sz w:val="24"/>
          <w:szCs w:val="24"/>
          <w:lang w:val="es-ES"/>
        </w:rPr>
        <w:t>haptoglobina</w:t>
      </w:r>
      <w:proofErr w:type="spellEnd"/>
      <w:r>
        <w:rPr>
          <w:rFonts w:ascii="Arial" w:hAnsi="Arial" w:cs="Arial"/>
          <w:sz w:val="24"/>
          <w:szCs w:val="24"/>
          <w:lang w:val="es-ES"/>
        </w:rPr>
        <w:t>.</w:t>
      </w:r>
    </w:p>
    <w:p w:rsidR="00936278" w:rsidRDefault="00936278" w:rsidP="00936278">
      <w:pPr>
        <w:rPr>
          <w:rFonts w:ascii="Arial" w:hAnsi="Arial" w:cs="Arial"/>
          <w:sz w:val="24"/>
          <w:szCs w:val="24"/>
          <w:lang w:val="es-ES"/>
        </w:rPr>
      </w:pPr>
      <w:r>
        <w:rPr>
          <w:rFonts w:ascii="Arial" w:hAnsi="Arial" w:cs="Arial"/>
          <w:sz w:val="24"/>
          <w:szCs w:val="24"/>
          <w:lang w:val="es-ES"/>
        </w:rPr>
        <w:t>Sobre interacciones con vacunas atenuadas vivas, ver el apartado «Interacciones».</w:t>
      </w:r>
    </w:p>
    <w:p w:rsidR="00936278" w:rsidRDefault="00936278" w:rsidP="00936278">
      <w:pPr>
        <w:spacing w:after="0" w:line="240" w:lineRule="auto"/>
        <w:rPr>
          <w:rFonts w:ascii="Arial" w:eastAsia="Times New Roman" w:hAnsi="Arial" w:cs="Arial"/>
          <w:b/>
          <w:sz w:val="24"/>
          <w:szCs w:val="24"/>
          <w:lang w:val="es-ES" w:eastAsia="es-ES"/>
        </w:rPr>
      </w:pPr>
    </w:p>
    <w:p w:rsidR="00936278" w:rsidRDefault="00936278" w:rsidP="00936278">
      <w:pPr>
        <w:spacing w:after="0" w:line="240" w:lineRule="auto"/>
        <w:rPr>
          <w:rFonts w:ascii="Arial" w:eastAsia="Times New Roman" w:hAnsi="Arial" w:cs="Arial"/>
          <w:b/>
          <w:sz w:val="24"/>
          <w:szCs w:val="24"/>
          <w:lang w:val="es-ES" w:eastAsia="es-ES"/>
        </w:rPr>
      </w:pPr>
      <w:r>
        <w:rPr>
          <w:rFonts w:ascii="Arial" w:eastAsia="Times New Roman" w:hAnsi="Arial" w:cs="Arial"/>
          <w:b/>
          <w:sz w:val="24"/>
          <w:szCs w:val="24"/>
          <w:lang w:val="es-ES" w:eastAsia="es-ES"/>
        </w:rPr>
        <w:t>Sobredosis (Signos, Síntomas, Conducta y Tratamiento):</w:t>
      </w:r>
    </w:p>
    <w:p w:rsidR="00936278" w:rsidRDefault="00936278" w:rsidP="00936278">
      <w:pPr>
        <w:rPr>
          <w:rFonts w:ascii="Arial" w:hAnsi="Arial" w:cs="Arial"/>
          <w:sz w:val="24"/>
          <w:szCs w:val="24"/>
          <w:lang w:val="es-ES"/>
        </w:rPr>
      </w:pPr>
      <w:r>
        <w:rPr>
          <w:rFonts w:ascii="Arial" w:hAnsi="Arial" w:cs="Arial"/>
          <w:sz w:val="24"/>
          <w:szCs w:val="24"/>
          <w:lang w:val="es-ES"/>
        </w:rPr>
        <w:t xml:space="preserve">Una sobredosis puede causar sobrecarga hídrica e </w:t>
      </w:r>
      <w:proofErr w:type="spellStart"/>
      <w:r>
        <w:rPr>
          <w:rFonts w:ascii="Arial" w:hAnsi="Arial" w:cs="Arial"/>
          <w:sz w:val="24"/>
          <w:szCs w:val="24"/>
          <w:lang w:val="es-ES"/>
        </w:rPr>
        <w:t>hiperviscosidad</w:t>
      </w:r>
      <w:proofErr w:type="spellEnd"/>
      <w:r>
        <w:rPr>
          <w:rFonts w:ascii="Arial" w:hAnsi="Arial" w:cs="Arial"/>
          <w:sz w:val="24"/>
          <w:szCs w:val="24"/>
          <w:lang w:val="es-ES"/>
        </w:rPr>
        <w:t>, sobre todo, en los pacientes en riesgo, incluidos los de edad avanzada o los pacientes con insuficiencia renal o cardíaca.</w:t>
      </w:r>
    </w:p>
    <w:p w:rsidR="00936278" w:rsidRDefault="00936278" w:rsidP="00936278">
      <w:pPr>
        <w:rPr>
          <w:rFonts w:ascii="Arial" w:hAnsi="Arial" w:cs="Arial"/>
          <w:sz w:val="24"/>
          <w:szCs w:val="24"/>
        </w:rPr>
      </w:pPr>
      <w:r>
        <w:rPr>
          <w:rFonts w:ascii="Arial" w:hAnsi="Arial" w:cs="Arial"/>
          <w:b/>
          <w:sz w:val="24"/>
          <w:szCs w:val="24"/>
        </w:rPr>
        <w:t xml:space="preserve">En caso de sobredosis o ingestión accidental, consultar al servicio de toxicología del hospital de emergencias </w:t>
      </w:r>
      <w:proofErr w:type="spellStart"/>
      <w:r>
        <w:rPr>
          <w:rFonts w:ascii="Arial" w:hAnsi="Arial" w:cs="Arial"/>
          <w:b/>
          <w:sz w:val="24"/>
          <w:szCs w:val="24"/>
        </w:rPr>
        <w:t>medicas</w:t>
      </w:r>
      <w:proofErr w:type="spellEnd"/>
      <w:r>
        <w:rPr>
          <w:rFonts w:ascii="Arial" w:hAnsi="Arial" w:cs="Arial"/>
          <w:b/>
          <w:sz w:val="24"/>
          <w:szCs w:val="24"/>
        </w:rPr>
        <w:t xml:space="preserve"> Tel.: 220-418 o el 204-800 (</w:t>
      </w:r>
      <w:proofErr w:type="spellStart"/>
      <w:r>
        <w:rPr>
          <w:rFonts w:ascii="Arial" w:hAnsi="Arial" w:cs="Arial"/>
          <w:b/>
          <w:sz w:val="24"/>
          <w:szCs w:val="24"/>
        </w:rPr>
        <w:t>int</w:t>
      </w:r>
      <w:proofErr w:type="spellEnd"/>
      <w:r>
        <w:rPr>
          <w:rFonts w:ascii="Arial" w:hAnsi="Arial" w:cs="Arial"/>
          <w:b/>
          <w:sz w:val="24"/>
          <w:szCs w:val="24"/>
        </w:rPr>
        <w:t>. 011)</w:t>
      </w: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pPr>
        <w:spacing w:after="0" w:line="240" w:lineRule="auto"/>
        <w:rPr>
          <w:rFonts w:ascii="Arial" w:eastAsia="Times New Roman" w:hAnsi="Arial" w:cs="Arial"/>
          <w:sz w:val="24"/>
          <w:szCs w:val="24"/>
          <w:lang w:val="es-ES" w:eastAsia="es-ES"/>
        </w:rPr>
      </w:pPr>
    </w:p>
    <w:p w:rsidR="00936278" w:rsidRDefault="00936278" w:rsidP="00936278">
      <w:bookmarkStart w:id="0" w:name="_GoBack"/>
      <w:bookmarkEnd w:id="0"/>
    </w:p>
    <w:sectPr w:rsidR="009362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A28"/>
    <w:multiLevelType w:val="hybridMultilevel"/>
    <w:tmpl w:val="56705910"/>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hint="default"/>
      </w:rPr>
    </w:lvl>
  </w:abstractNum>
  <w:abstractNum w:abstractNumId="1">
    <w:nsid w:val="63C12086"/>
    <w:multiLevelType w:val="hybridMultilevel"/>
    <w:tmpl w:val="F02AF9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78"/>
    <w:rsid w:val="001E3122"/>
    <w:rsid w:val="0093627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A3FCB-96CE-4F66-9E98-D41E086E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27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936278"/>
    <w:rPr>
      <w:color w:val="0000FF"/>
      <w:u w:val="single"/>
    </w:rPr>
  </w:style>
  <w:style w:type="paragraph" w:customStyle="1" w:styleId="Default">
    <w:name w:val="Default"/>
    <w:rsid w:val="0093627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59"/>
    <w:rsid w:val="0093627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74625">
      <w:bodyDiv w:val="1"/>
      <w:marLeft w:val="0"/>
      <w:marRight w:val="0"/>
      <w:marTop w:val="0"/>
      <w:marBottom w:val="0"/>
      <w:divBdr>
        <w:top w:val="none" w:sz="0" w:space="0" w:color="auto"/>
        <w:left w:val="none" w:sz="0" w:space="0" w:color="auto"/>
        <w:bottom w:val="none" w:sz="0" w:space="0" w:color="auto"/>
        <w:right w:val="none" w:sz="0" w:space="0" w:color="auto"/>
      </w:divBdr>
    </w:div>
    <w:div w:id="13337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farmacovigilancia@quimfa.com.p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6886</Words>
  <Characters>37873</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2021-04-27T18:04:00Z</dcterms:created>
  <dcterms:modified xsi:type="dcterms:W3CDTF">2021-04-27T18:09:00Z</dcterms:modified>
</cp:coreProperties>
</file>