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10DA" w14:textId="77777777" w:rsidR="0044773F" w:rsidRPr="0044773F" w:rsidRDefault="0044773F" w:rsidP="0044773F">
      <w:pPr>
        <w:jc w:val="center"/>
        <w:rPr>
          <w:b/>
          <w:bCs/>
        </w:rPr>
      </w:pPr>
      <w:r w:rsidRPr="0044773F">
        <w:rPr>
          <w:b/>
          <w:bCs/>
        </w:rPr>
        <w:t>DIPIDOL®</w:t>
      </w:r>
    </w:p>
    <w:p w14:paraId="31AE2667" w14:textId="6FB6DB7A" w:rsidR="004523E0" w:rsidRDefault="0044773F" w:rsidP="0044773F">
      <w:pPr>
        <w:jc w:val="center"/>
        <w:rPr>
          <w:b/>
          <w:bCs/>
        </w:rPr>
      </w:pPr>
      <w:r w:rsidRPr="0044773F">
        <w:rPr>
          <w:b/>
          <w:bCs/>
        </w:rPr>
        <w:t>DIPIRONA SODICA</w:t>
      </w:r>
    </w:p>
    <w:p w14:paraId="328E218D" w14:textId="77777777" w:rsidR="0044773F" w:rsidRDefault="0044773F" w:rsidP="0044773F">
      <w:pPr>
        <w:jc w:val="both"/>
      </w:pPr>
      <w:r>
        <w:t xml:space="preserve">DIPIDOL® </w:t>
      </w:r>
    </w:p>
    <w:p w14:paraId="11A9FF2F" w14:textId="77777777" w:rsidR="0044773F" w:rsidRDefault="0044773F" w:rsidP="0044773F">
      <w:pPr>
        <w:jc w:val="both"/>
      </w:pPr>
      <w:r>
        <w:t>DIPIRONA SODICA 500mg/</w:t>
      </w:r>
      <w:proofErr w:type="spellStart"/>
      <w:r>
        <w:t>mL</w:t>
      </w:r>
      <w:proofErr w:type="spellEnd"/>
    </w:p>
    <w:p w14:paraId="41AF6333" w14:textId="77777777" w:rsidR="0044773F" w:rsidRDefault="0044773F" w:rsidP="0044773F">
      <w:pPr>
        <w:jc w:val="both"/>
      </w:pPr>
      <w:r>
        <w:t>Fórmula</w:t>
      </w:r>
    </w:p>
    <w:p w14:paraId="007D6D0E" w14:textId="77777777" w:rsidR="0044773F" w:rsidRDefault="0044773F" w:rsidP="0044773F">
      <w:pPr>
        <w:jc w:val="both"/>
      </w:pPr>
      <w:r>
        <w:t xml:space="preserve">Cada </w:t>
      </w:r>
      <w:proofErr w:type="spellStart"/>
      <w:r>
        <w:t>mL</w:t>
      </w:r>
      <w:proofErr w:type="spellEnd"/>
      <w:r>
        <w:t xml:space="preserve"> de solución gotas orales contiene: </w:t>
      </w:r>
    </w:p>
    <w:p w14:paraId="66CD572C" w14:textId="77777777" w:rsidR="0044773F" w:rsidRDefault="0044773F" w:rsidP="0044773F">
      <w:pPr>
        <w:jc w:val="both"/>
      </w:pPr>
      <w:proofErr w:type="spellStart"/>
      <w:r>
        <w:t>Dipirona</w:t>
      </w:r>
      <w:proofErr w:type="spellEnd"/>
      <w:r>
        <w:t xml:space="preserve"> Sódica……………</w:t>
      </w:r>
      <w:proofErr w:type="gramStart"/>
      <w:r>
        <w:t>…….</w:t>
      </w:r>
      <w:proofErr w:type="gramEnd"/>
      <w:r>
        <w:t>.….…….…… 500 mg</w:t>
      </w:r>
    </w:p>
    <w:p w14:paraId="6E962FD0" w14:textId="77777777" w:rsidR="0044773F" w:rsidRDefault="0044773F" w:rsidP="0044773F">
      <w:pPr>
        <w:jc w:val="both"/>
      </w:pPr>
      <w:r>
        <w:t>Excipientes………………………………</w:t>
      </w:r>
      <w:proofErr w:type="gramStart"/>
      <w:r>
        <w:t>…....</w:t>
      </w:r>
      <w:proofErr w:type="gramEnd"/>
      <w:r>
        <w:t xml:space="preserve">.…... </w:t>
      </w:r>
      <w:proofErr w:type="spellStart"/>
      <w:r>
        <w:t>c.s.p</w:t>
      </w:r>
      <w:proofErr w:type="spellEnd"/>
    </w:p>
    <w:p w14:paraId="12B53B65" w14:textId="77777777" w:rsidR="0044773F" w:rsidRDefault="0044773F" w:rsidP="0044773F">
      <w:pPr>
        <w:jc w:val="both"/>
      </w:pPr>
      <w:r>
        <w:t>No contiene azúcar</w:t>
      </w:r>
    </w:p>
    <w:p w14:paraId="4DB45CD8" w14:textId="77777777" w:rsidR="0044773F" w:rsidRDefault="0044773F" w:rsidP="0044773F">
      <w:pPr>
        <w:jc w:val="both"/>
      </w:pPr>
      <w:r>
        <w:t>1mL: 23 gotas</w:t>
      </w:r>
    </w:p>
    <w:p w14:paraId="1B5AAB6E" w14:textId="77777777" w:rsidR="0044773F" w:rsidRDefault="0044773F" w:rsidP="0044773F">
      <w:pPr>
        <w:jc w:val="both"/>
      </w:pPr>
    </w:p>
    <w:p w14:paraId="006F5017" w14:textId="77777777" w:rsidR="0044773F" w:rsidRDefault="0044773F" w:rsidP="0044773F">
      <w:pPr>
        <w:jc w:val="both"/>
      </w:pPr>
      <w:r>
        <w:t>DIPIDOL® 250</w:t>
      </w:r>
    </w:p>
    <w:p w14:paraId="49602D84" w14:textId="77777777" w:rsidR="0044773F" w:rsidRDefault="0044773F" w:rsidP="0044773F">
      <w:pPr>
        <w:jc w:val="both"/>
      </w:pPr>
      <w:r>
        <w:t>DIPIRONA SODICA 250mg/5mL</w:t>
      </w:r>
    </w:p>
    <w:p w14:paraId="09BEEC69" w14:textId="77777777" w:rsidR="0044773F" w:rsidRDefault="0044773F" w:rsidP="0044773F">
      <w:pPr>
        <w:jc w:val="both"/>
      </w:pPr>
      <w:r>
        <w:t>Fórmula</w:t>
      </w:r>
    </w:p>
    <w:p w14:paraId="7C8033B6" w14:textId="77777777" w:rsidR="0044773F" w:rsidRDefault="0044773F" w:rsidP="0044773F">
      <w:pPr>
        <w:jc w:val="both"/>
      </w:pPr>
      <w:r>
        <w:t xml:space="preserve">Cada 5 </w:t>
      </w:r>
      <w:proofErr w:type="spellStart"/>
      <w:r>
        <w:t>mL</w:t>
      </w:r>
      <w:proofErr w:type="spellEnd"/>
      <w:r>
        <w:t xml:space="preserve"> contiene:</w:t>
      </w:r>
    </w:p>
    <w:p w14:paraId="5D4CB677" w14:textId="77777777" w:rsidR="0044773F" w:rsidRDefault="0044773F" w:rsidP="0044773F">
      <w:pPr>
        <w:jc w:val="both"/>
      </w:pPr>
      <w:proofErr w:type="spellStart"/>
      <w:r>
        <w:t>Dipirona</w:t>
      </w:r>
      <w:proofErr w:type="spellEnd"/>
      <w:r>
        <w:t xml:space="preserve"> (</w:t>
      </w:r>
      <w:proofErr w:type="spellStart"/>
      <w:r>
        <w:t>Metanosulfonato</w:t>
      </w:r>
      <w:proofErr w:type="spellEnd"/>
      <w:r>
        <w:t xml:space="preserve"> </w:t>
      </w:r>
      <w:proofErr w:type="gramStart"/>
      <w:r>
        <w:t>Sódico)…</w:t>
      </w:r>
      <w:proofErr w:type="gramEnd"/>
      <w:r>
        <w:t xml:space="preserve">…….… 250 mg </w:t>
      </w:r>
    </w:p>
    <w:p w14:paraId="6300DC0E" w14:textId="77777777" w:rsidR="0044773F" w:rsidRDefault="0044773F" w:rsidP="0044773F">
      <w:pPr>
        <w:jc w:val="both"/>
      </w:pPr>
      <w:r>
        <w:t>Excipientes…………………………………</w:t>
      </w:r>
      <w:proofErr w:type="gramStart"/>
      <w:r>
        <w:t>…....</w:t>
      </w:r>
      <w:proofErr w:type="gramEnd"/>
      <w:r>
        <w:t xml:space="preserve">… </w:t>
      </w:r>
      <w:proofErr w:type="spellStart"/>
      <w:r>
        <w:t>c.s.p</w:t>
      </w:r>
      <w:proofErr w:type="spellEnd"/>
    </w:p>
    <w:p w14:paraId="3306E359" w14:textId="77777777" w:rsidR="0044773F" w:rsidRDefault="0044773F" w:rsidP="0044773F">
      <w:pPr>
        <w:jc w:val="both"/>
      </w:pPr>
    </w:p>
    <w:p w14:paraId="2A4C9424" w14:textId="77777777" w:rsidR="0044773F" w:rsidRDefault="0044773F" w:rsidP="0044773F">
      <w:pPr>
        <w:jc w:val="both"/>
      </w:pPr>
      <w:r>
        <w:t>DIPIDOL® 500</w:t>
      </w:r>
    </w:p>
    <w:p w14:paraId="56DBF581" w14:textId="77777777" w:rsidR="0044773F" w:rsidRDefault="0044773F" w:rsidP="0044773F">
      <w:pPr>
        <w:jc w:val="both"/>
      </w:pPr>
      <w:r>
        <w:t>DIPIRONA SODICA 500mg</w:t>
      </w:r>
    </w:p>
    <w:p w14:paraId="4F663A31" w14:textId="77777777" w:rsidR="0044773F" w:rsidRDefault="0044773F" w:rsidP="0044773F">
      <w:pPr>
        <w:jc w:val="both"/>
      </w:pPr>
      <w:r>
        <w:t>Fórmula</w:t>
      </w:r>
    </w:p>
    <w:p w14:paraId="1FD34BF6" w14:textId="77777777" w:rsidR="0044773F" w:rsidRDefault="0044773F" w:rsidP="0044773F">
      <w:pPr>
        <w:jc w:val="both"/>
      </w:pPr>
      <w:r>
        <w:t>Cada comprimido contiene:</w:t>
      </w:r>
    </w:p>
    <w:p w14:paraId="0815CDE6" w14:textId="77777777" w:rsidR="0044773F" w:rsidRDefault="0044773F" w:rsidP="0044773F">
      <w:pPr>
        <w:jc w:val="both"/>
      </w:pPr>
      <w:proofErr w:type="spellStart"/>
      <w:r>
        <w:t>Dipirona</w:t>
      </w:r>
      <w:proofErr w:type="spellEnd"/>
      <w:r>
        <w:t xml:space="preserve"> Sódica……………</w:t>
      </w:r>
      <w:proofErr w:type="gramStart"/>
      <w:r>
        <w:t>…….</w:t>
      </w:r>
      <w:proofErr w:type="gramEnd"/>
      <w:r>
        <w:t>.….…….…… 500 mg</w:t>
      </w:r>
    </w:p>
    <w:p w14:paraId="4788A681" w14:textId="77777777" w:rsidR="0044773F" w:rsidRDefault="0044773F" w:rsidP="0044773F">
      <w:pPr>
        <w:jc w:val="both"/>
      </w:pPr>
      <w:r>
        <w:t>Excipientes……………………………</w:t>
      </w:r>
      <w:proofErr w:type="gramStart"/>
      <w:r>
        <w:t>…....</w:t>
      </w:r>
      <w:proofErr w:type="gramEnd"/>
      <w:r>
        <w:t xml:space="preserve">……… </w:t>
      </w:r>
      <w:proofErr w:type="spellStart"/>
      <w:r>
        <w:t>c.s.p</w:t>
      </w:r>
      <w:proofErr w:type="spellEnd"/>
    </w:p>
    <w:p w14:paraId="6068744F" w14:textId="77777777" w:rsidR="0044773F" w:rsidRDefault="0044773F" w:rsidP="0044773F">
      <w:pPr>
        <w:jc w:val="both"/>
      </w:pPr>
      <w:r>
        <w:t>ACCIÓN TERAPÉUTICA:</w:t>
      </w:r>
    </w:p>
    <w:p w14:paraId="2242E58D" w14:textId="77777777" w:rsidR="0044773F" w:rsidRDefault="0044773F" w:rsidP="0044773F">
      <w:pPr>
        <w:jc w:val="both"/>
      </w:pPr>
      <w:r>
        <w:t>Analgésico, Antipirético.</w:t>
      </w:r>
    </w:p>
    <w:p w14:paraId="7B6D0672" w14:textId="77777777" w:rsidR="0044773F" w:rsidRDefault="0044773F" w:rsidP="0044773F">
      <w:pPr>
        <w:jc w:val="both"/>
      </w:pPr>
    </w:p>
    <w:p w14:paraId="209D3468" w14:textId="77777777" w:rsidR="0044773F" w:rsidRDefault="0044773F" w:rsidP="0044773F">
      <w:pPr>
        <w:jc w:val="both"/>
      </w:pPr>
      <w:r>
        <w:t>MECANISMO DE ACCIÓN Y DATOS FARMACOCINÉTICOS:</w:t>
      </w:r>
    </w:p>
    <w:p w14:paraId="49F05053" w14:textId="77777777" w:rsidR="0044773F" w:rsidRDefault="0044773F" w:rsidP="0044773F">
      <w:pPr>
        <w:jc w:val="both"/>
      </w:pPr>
      <w:r>
        <w:t xml:space="preserve">Propiedades farmacodinámicas </w:t>
      </w:r>
    </w:p>
    <w:p w14:paraId="23465220" w14:textId="77777777" w:rsidR="0044773F" w:rsidRDefault="0044773F" w:rsidP="0044773F">
      <w:pPr>
        <w:jc w:val="both"/>
      </w:pPr>
      <w:r>
        <w:t xml:space="preserve">Grupo farmacoterapéutico: Otros analgésicos y antipiréticos. Pirazolonas. Código ATC: N02BB. </w:t>
      </w:r>
    </w:p>
    <w:p w14:paraId="5BC96486" w14:textId="77777777" w:rsidR="0044773F" w:rsidRDefault="0044773F" w:rsidP="0044773F">
      <w:pPr>
        <w:jc w:val="both"/>
      </w:pPr>
      <w:r>
        <w:lastRenderedPageBreak/>
        <w:t xml:space="preserve">La </w:t>
      </w:r>
      <w:proofErr w:type="spellStart"/>
      <w:r>
        <w:t>dipirona</w:t>
      </w:r>
      <w:proofErr w:type="spellEnd"/>
      <w:r>
        <w:t xml:space="preserve"> es una pirazolona analgésica no acídica, no narcótica, con efectos analgésicos, antipiréticos y espasmolíticos. El mecanismo de acción no se ha comprendido completamente. Los datos sugieren que la </w:t>
      </w:r>
      <w:proofErr w:type="spellStart"/>
      <w:r>
        <w:t>dipirona</w:t>
      </w:r>
      <w:proofErr w:type="spellEnd"/>
      <w:r>
        <w:t xml:space="preserve"> y su principal metabolito (4-metil-amino-antipirina) pueden tener un modo de acción combinado central y periférico. A dosis </w:t>
      </w:r>
      <w:proofErr w:type="spellStart"/>
      <w:r>
        <w:t>supra-terapéuticas</w:t>
      </w:r>
      <w:proofErr w:type="spellEnd"/>
      <w:r>
        <w:t xml:space="preserve"> puede conseguirse un efecto antiflogístico, el cual puede resultar de una inhibición de la síntesis de prostaglandinas.</w:t>
      </w:r>
    </w:p>
    <w:p w14:paraId="58224CC8" w14:textId="77777777" w:rsidR="0044773F" w:rsidRDefault="0044773F" w:rsidP="0044773F">
      <w:pPr>
        <w:jc w:val="both"/>
      </w:pPr>
      <w:r>
        <w:t xml:space="preserve">Propiedades farmacocinéticas </w:t>
      </w:r>
    </w:p>
    <w:p w14:paraId="36E88845" w14:textId="77777777" w:rsidR="0044773F" w:rsidRDefault="0044773F" w:rsidP="0044773F">
      <w:pPr>
        <w:jc w:val="both"/>
      </w:pPr>
      <w:r>
        <w:t xml:space="preserve">Absorción </w:t>
      </w:r>
    </w:p>
    <w:p w14:paraId="11C0A353" w14:textId="77777777" w:rsidR="0044773F" w:rsidRDefault="0044773F" w:rsidP="0044773F">
      <w:pPr>
        <w:jc w:val="both"/>
      </w:pPr>
      <w:r>
        <w:t xml:space="preserve">Después de la administración oral, la </w:t>
      </w:r>
      <w:proofErr w:type="spellStart"/>
      <w:r>
        <w:t>dipirona</w:t>
      </w:r>
      <w:proofErr w:type="spellEnd"/>
      <w:r>
        <w:t xml:space="preserve"> se hidroliza rápidamente en el jugo gástrico a su principal metabolito, la 4-metilaminoantipirina (MAA), la cual es fácilmente absorbida. La </w:t>
      </w:r>
      <w:proofErr w:type="spellStart"/>
      <w:r>
        <w:t>dipirona</w:t>
      </w:r>
      <w:proofErr w:type="spellEnd"/>
      <w:r>
        <w:t xml:space="preserve"> administrado por vía oral se absorbe casi de forma completa. La ingesta concomitante de alimentos no tiene un efecto relevante en la farmacocinética de la </w:t>
      </w:r>
      <w:proofErr w:type="spellStart"/>
      <w:r>
        <w:t>dipirona</w:t>
      </w:r>
      <w:proofErr w:type="spellEnd"/>
      <w:r>
        <w:t xml:space="preserve">. </w:t>
      </w:r>
    </w:p>
    <w:p w14:paraId="26465BFB" w14:textId="77777777" w:rsidR="0044773F" w:rsidRDefault="0044773F" w:rsidP="0044773F">
      <w:pPr>
        <w:jc w:val="both"/>
      </w:pPr>
      <w:r>
        <w:t xml:space="preserve">Distribución </w:t>
      </w:r>
    </w:p>
    <w:p w14:paraId="744361D4" w14:textId="77777777" w:rsidR="0044773F" w:rsidRDefault="0044773F" w:rsidP="0044773F">
      <w:pPr>
        <w:jc w:val="both"/>
      </w:pPr>
      <w:r>
        <w:t xml:space="preserve">4-MAA se une a las proteínas plasmáticas en un 58%. El resto de metabolitos de la </w:t>
      </w:r>
      <w:proofErr w:type="spellStart"/>
      <w:r>
        <w:t>dipirona</w:t>
      </w:r>
      <w:proofErr w:type="spellEnd"/>
      <w:r>
        <w:t xml:space="preserve"> se unen en la siguiente proporción: 4-aminoantipirina (48%), 4-formilaminoantipirina (18%) y 4-acetilaminoantipirina (14%). La </w:t>
      </w:r>
      <w:proofErr w:type="spellStart"/>
      <w:r>
        <w:t>dipirona</w:t>
      </w:r>
      <w:proofErr w:type="spellEnd"/>
      <w:r>
        <w:t xml:space="preserve"> puede atravesar la barrera placentaria. Los metabolitos se excretan en la leche de las madres lactantes. </w:t>
      </w:r>
    </w:p>
    <w:p w14:paraId="580D0451" w14:textId="77777777" w:rsidR="0044773F" w:rsidRDefault="0044773F" w:rsidP="0044773F">
      <w:pPr>
        <w:jc w:val="both"/>
      </w:pPr>
      <w:r>
        <w:t>Biotransformación</w:t>
      </w:r>
    </w:p>
    <w:p w14:paraId="066B6C79" w14:textId="77777777" w:rsidR="0044773F" w:rsidRDefault="0044773F" w:rsidP="0044773F">
      <w:pPr>
        <w:jc w:val="both"/>
      </w:pPr>
      <w:r>
        <w:t xml:space="preserve">El principal metabolito de la </w:t>
      </w:r>
      <w:proofErr w:type="spellStart"/>
      <w:r>
        <w:t>dipirona</w:t>
      </w:r>
      <w:proofErr w:type="spellEnd"/>
      <w:r>
        <w:t xml:space="preserve">, 4-MAA, se metaboliza posteriormente en el hígado por oxidación y por desmetilación seguido de una acetilación. Los principales metabolitos de la </w:t>
      </w:r>
      <w:proofErr w:type="spellStart"/>
      <w:r>
        <w:t>dipirona</w:t>
      </w:r>
      <w:proofErr w:type="spellEnd"/>
      <w:r>
        <w:t xml:space="preserve"> son 4- </w:t>
      </w:r>
      <w:proofErr w:type="spellStart"/>
      <w:r>
        <w:t>metilaminoantipirina</w:t>
      </w:r>
      <w:proofErr w:type="spellEnd"/>
      <w:r>
        <w:t xml:space="preserve"> (4-MAA), 4-aminoantipirina (4-AA), 4-formilaminoantipirina (4-FAA) y 4- </w:t>
      </w:r>
      <w:proofErr w:type="spellStart"/>
      <w:r>
        <w:t>acetilaminoantipirina</w:t>
      </w:r>
      <w:proofErr w:type="spellEnd"/>
      <w:r>
        <w:t xml:space="preserve"> (4-AcAA). El estudio de los cuatro metabolitos principales de la </w:t>
      </w:r>
      <w:proofErr w:type="spellStart"/>
      <w:r>
        <w:t>dipirona</w:t>
      </w:r>
      <w:proofErr w:type="spellEnd"/>
      <w:r>
        <w:t xml:space="preserve"> muestra que los efectos antipirético, analgésico y antiinflamatorio de la </w:t>
      </w:r>
      <w:proofErr w:type="spellStart"/>
      <w:r>
        <w:t>dipirona</w:t>
      </w:r>
      <w:proofErr w:type="spellEnd"/>
      <w:r>
        <w:t xml:space="preserve"> se pueden atribuir a los metabolitos 4- MAA y 4-AA.</w:t>
      </w:r>
    </w:p>
    <w:p w14:paraId="622D17A6" w14:textId="77777777" w:rsidR="0044773F" w:rsidRDefault="0044773F" w:rsidP="0044773F">
      <w:pPr>
        <w:jc w:val="both"/>
      </w:pPr>
      <w:r>
        <w:t>Eliminación</w:t>
      </w:r>
    </w:p>
    <w:p w14:paraId="76F13642" w14:textId="77777777" w:rsidR="0044773F" w:rsidRDefault="0044773F" w:rsidP="0044773F">
      <w:pPr>
        <w:jc w:val="both"/>
      </w:pPr>
      <w:r>
        <w:t xml:space="preserve">En pacientes sanos, después de la administración oral e I.V., se excreta más del 90 % de la dosis en la orina al cabo de 7 días. La vida media de eliminación de la </w:t>
      </w:r>
      <w:proofErr w:type="spellStart"/>
      <w:r>
        <w:t>dipirona</w:t>
      </w:r>
      <w:proofErr w:type="spellEnd"/>
      <w:r>
        <w:t xml:space="preserve"> radiomarcado es de unas 10 horas. Para 4-MAA, la vida media de eliminación después de una dosis única por vía oral es de 2,7 horas; para los demás metabolitos principales la vida media de eliminación es de 3,7 a 11,2 horas. Los niños eliminan los metabolitos más rápidamente que los adultos.</w:t>
      </w:r>
    </w:p>
    <w:p w14:paraId="1EBB84F4" w14:textId="77777777" w:rsidR="0044773F" w:rsidRDefault="0044773F" w:rsidP="0044773F">
      <w:pPr>
        <w:jc w:val="both"/>
      </w:pPr>
      <w:r>
        <w:t>En pacientes sanos de edad avanzada la vida media de eliminación de 4-MAA es significativamente superior, y el aclaramiento es significativamente inferior que en pacientes jóvenes.</w:t>
      </w:r>
    </w:p>
    <w:p w14:paraId="1AE84B9A" w14:textId="77777777" w:rsidR="0044773F" w:rsidRDefault="0044773F" w:rsidP="0044773F">
      <w:pPr>
        <w:jc w:val="both"/>
      </w:pPr>
      <w:r>
        <w:t>En pacientes con insuficiencia hepática, las semividas de eliminación de 4-MAA y 4-FAA se triplicaron. En pacientes con la función renal alterada, se reduce la eliminación de algunos metabolitos (4-AcAA, 4- FAA). Por lo tanto, se deben evitar las dosis elevadas en pacientes con la función hepática y renal alterada.</w:t>
      </w:r>
    </w:p>
    <w:p w14:paraId="5CA906F2" w14:textId="77777777" w:rsidR="0044773F" w:rsidRDefault="0044773F" w:rsidP="0044773F">
      <w:pPr>
        <w:jc w:val="both"/>
      </w:pPr>
      <w:r>
        <w:t>Relación (es) farmacocinética/ farmacodinámica(s)</w:t>
      </w:r>
    </w:p>
    <w:p w14:paraId="5B7C4E00" w14:textId="77777777" w:rsidR="0044773F" w:rsidRDefault="0044773F" w:rsidP="0044773F">
      <w:pPr>
        <w:jc w:val="both"/>
      </w:pPr>
      <w:r>
        <w:t xml:space="preserve">Todos los metabolitos de la </w:t>
      </w:r>
      <w:proofErr w:type="spellStart"/>
      <w:r>
        <w:t>dipirona</w:t>
      </w:r>
      <w:proofErr w:type="spellEnd"/>
      <w:r>
        <w:t xml:space="preserve"> muestran una farmacocinética no lineal. No se conoce la relevancia clínica de este hecho. Para tratamientos a corto plazo, la acumulación de metabolitos tiene una importancia menor.</w:t>
      </w:r>
    </w:p>
    <w:p w14:paraId="4AC938E8" w14:textId="77777777" w:rsidR="0044773F" w:rsidRDefault="0044773F" w:rsidP="0044773F">
      <w:pPr>
        <w:jc w:val="both"/>
      </w:pPr>
    </w:p>
    <w:p w14:paraId="2498ED22" w14:textId="77777777" w:rsidR="0044773F" w:rsidRDefault="0044773F" w:rsidP="0044773F">
      <w:pPr>
        <w:jc w:val="both"/>
      </w:pPr>
      <w:r>
        <w:t>INDICACIONES TERAPÉUTICAS:</w:t>
      </w:r>
    </w:p>
    <w:p w14:paraId="19CDE475" w14:textId="77777777" w:rsidR="0044773F" w:rsidRDefault="0044773F" w:rsidP="0044773F">
      <w:pPr>
        <w:jc w:val="both"/>
      </w:pPr>
      <w:r>
        <w:t xml:space="preserve">- Dolor agudo </w:t>
      </w:r>
      <w:proofErr w:type="spellStart"/>
      <w:r>
        <w:t>post-operatorio</w:t>
      </w:r>
      <w:proofErr w:type="spellEnd"/>
      <w:r>
        <w:t xml:space="preserve"> o </w:t>
      </w:r>
      <w:proofErr w:type="spellStart"/>
      <w:r>
        <w:t>post-traumático</w:t>
      </w:r>
      <w:proofErr w:type="spellEnd"/>
      <w:r>
        <w:t xml:space="preserve">, de tipo cólico o de origen tumoral. </w:t>
      </w:r>
    </w:p>
    <w:p w14:paraId="0AC20B56" w14:textId="77777777" w:rsidR="0044773F" w:rsidRDefault="0044773F" w:rsidP="0044773F">
      <w:pPr>
        <w:jc w:val="both"/>
      </w:pPr>
      <w:r>
        <w:t xml:space="preserve">- Fiebre alta que no responda a otras medidas terapéuticas incluidos antipiréticos de primera elección. </w:t>
      </w:r>
    </w:p>
    <w:p w14:paraId="5139A9DF" w14:textId="77777777" w:rsidR="0044773F" w:rsidRDefault="0044773F" w:rsidP="0044773F">
      <w:pPr>
        <w:jc w:val="both"/>
      </w:pPr>
    </w:p>
    <w:p w14:paraId="2C36C2BA" w14:textId="77777777" w:rsidR="0044773F" w:rsidRDefault="0044773F" w:rsidP="0044773F">
      <w:pPr>
        <w:jc w:val="both"/>
      </w:pPr>
      <w:r>
        <w:t xml:space="preserve">POSOLOGÍA Y MODO DE USO: </w:t>
      </w:r>
    </w:p>
    <w:p w14:paraId="4BD936EE" w14:textId="77777777" w:rsidR="0044773F" w:rsidRDefault="0044773F" w:rsidP="0044773F">
      <w:pPr>
        <w:jc w:val="both"/>
      </w:pPr>
      <w:r>
        <w:t>Posología</w:t>
      </w:r>
    </w:p>
    <w:p w14:paraId="671D2EBC" w14:textId="77777777" w:rsidR="0044773F" w:rsidRDefault="0044773F" w:rsidP="0044773F">
      <w:pPr>
        <w:jc w:val="both"/>
      </w:pPr>
      <w:r>
        <w:t xml:space="preserve">La dosis se establece en función de la intensidad del dolor o la fiebre y la sensibilidad de cada persona al tratamiento con la </w:t>
      </w:r>
      <w:proofErr w:type="spellStart"/>
      <w:r>
        <w:t>dipirona</w:t>
      </w:r>
      <w:proofErr w:type="spellEnd"/>
      <w:r>
        <w:t>. Es muy importante escoger la dosis más baja que controle el dolor y la fiebre.</w:t>
      </w:r>
    </w:p>
    <w:p w14:paraId="6596E02D" w14:textId="77777777" w:rsidR="0044773F" w:rsidRDefault="0044773F" w:rsidP="0044773F">
      <w:pPr>
        <w:jc w:val="both"/>
      </w:pPr>
      <w:r>
        <w:t>El efecto del medicamento suele aparecer entre los 30 y 60 minutos después de la administración oral.</w:t>
      </w:r>
    </w:p>
    <w:p w14:paraId="6822FE2E" w14:textId="77777777" w:rsidR="0044773F" w:rsidRDefault="0044773F" w:rsidP="0044773F">
      <w:pPr>
        <w:jc w:val="both"/>
      </w:pPr>
      <w:proofErr w:type="spellStart"/>
      <w:r>
        <w:t>Dipidol</w:t>
      </w:r>
      <w:proofErr w:type="spellEnd"/>
      <w:r>
        <w:t xml:space="preserve"> </w:t>
      </w:r>
    </w:p>
    <w:p w14:paraId="217E10C4" w14:textId="77777777" w:rsidR="0044773F" w:rsidRDefault="0044773F" w:rsidP="0044773F">
      <w:pPr>
        <w:jc w:val="both"/>
      </w:pPr>
      <w:r>
        <w:t xml:space="preserve">1 </w:t>
      </w:r>
      <w:proofErr w:type="spellStart"/>
      <w:r>
        <w:t>mL</w:t>
      </w:r>
      <w:proofErr w:type="spellEnd"/>
      <w:r>
        <w:t>: 23 gotas</w:t>
      </w:r>
    </w:p>
    <w:p w14:paraId="7C55F1D0" w14:textId="77777777" w:rsidR="0044773F" w:rsidRDefault="0044773F" w:rsidP="0044773F">
      <w:pPr>
        <w:jc w:val="both"/>
      </w:pPr>
      <w:r>
        <w:t>La siguiente tabla contiene las dosis recomendadas por toma en función a la edad y el peso del paciente.</w:t>
      </w:r>
    </w:p>
    <w:p w14:paraId="082AA4C3" w14:textId="77777777" w:rsidR="0044773F" w:rsidRDefault="0044773F" w:rsidP="0044773F">
      <w:pPr>
        <w:jc w:val="both"/>
      </w:pPr>
      <w:r>
        <w:t xml:space="preserve">Cada dosis se puede tomar 3 </w:t>
      </w:r>
      <w:proofErr w:type="spellStart"/>
      <w:r>
        <w:t>ó</w:t>
      </w:r>
      <w:proofErr w:type="spellEnd"/>
      <w:r>
        <w:t xml:space="preserve"> 4 veces al </w:t>
      </w:r>
      <w:proofErr w:type="spellStart"/>
      <w:r>
        <w:t>dia</w:t>
      </w:r>
      <w:proofErr w:type="spellEnd"/>
      <w:r>
        <w:t xml:space="preserve"> (cada 6 a 8 horas):</w:t>
      </w:r>
    </w:p>
    <w:p w14:paraId="66FF8B67" w14:textId="449E7645" w:rsidR="0044773F" w:rsidRDefault="0044773F" w:rsidP="0044773F">
      <w:pPr>
        <w:jc w:val="both"/>
      </w:pPr>
      <w:r w:rsidRPr="0044773F">
        <w:drawing>
          <wp:inline distT="0" distB="0" distL="0" distR="0" wp14:anchorId="59873B45" wp14:editId="6A8330DB">
            <wp:extent cx="3718269" cy="97005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750" cy="974098"/>
                    </a:xfrm>
                    <a:prstGeom prst="rect">
                      <a:avLst/>
                    </a:prstGeom>
                    <a:noFill/>
                    <a:ln>
                      <a:noFill/>
                    </a:ln>
                  </pic:spPr>
                </pic:pic>
              </a:graphicData>
            </a:graphic>
          </wp:inline>
        </w:drawing>
      </w:r>
    </w:p>
    <w:p w14:paraId="38E5722E" w14:textId="77777777" w:rsidR="0044773F" w:rsidRDefault="0044773F" w:rsidP="0044773F">
      <w:pPr>
        <w:jc w:val="both"/>
      </w:pPr>
    </w:p>
    <w:p w14:paraId="08FEDE87" w14:textId="101CB8AD" w:rsidR="0044773F" w:rsidRDefault="0044773F" w:rsidP="0044773F">
      <w:pPr>
        <w:jc w:val="both"/>
      </w:pPr>
      <w:proofErr w:type="spellStart"/>
      <w:r>
        <w:t>Dipidol</w:t>
      </w:r>
      <w:proofErr w:type="spellEnd"/>
      <w:r>
        <w:t xml:space="preserve"> 250</w:t>
      </w:r>
    </w:p>
    <w:p w14:paraId="34AB914C" w14:textId="77777777" w:rsidR="0044773F" w:rsidRDefault="0044773F" w:rsidP="0044773F">
      <w:pPr>
        <w:jc w:val="both"/>
      </w:pPr>
      <w:r>
        <w:t>La siguiente tabla contiene las dosis recomendadas por toma en función a la edad y el peso del paciente.</w:t>
      </w:r>
    </w:p>
    <w:p w14:paraId="34F1E98D" w14:textId="77777777" w:rsidR="0044773F" w:rsidRDefault="0044773F" w:rsidP="0044773F">
      <w:pPr>
        <w:jc w:val="both"/>
      </w:pPr>
      <w:r>
        <w:t xml:space="preserve">Cada dosis se puede tomar 3 </w:t>
      </w:r>
      <w:proofErr w:type="spellStart"/>
      <w:r>
        <w:t>ó</w:t>
      </w:r>
      <w:proofErr w:type="spellEnd"/>
      <w:r>
        <w:t xml:space="preserve"> 4 veces al </w:t>
      </w:r>
      <w:proofErr w:type="spellStart"/>
      <w:r>
        <w:t>dia</w:t>
      </w:r>
      <w:proofErr w:type="spellEnd"/>
      <w:r>
        <w:t xml:space="preserve"> (cada 6 a 8 horas):</w:t>
      </w:r>
    </w:p>
    <w:p w14:paraId="3F999100" w14:textId="2C46DE10" w:rsidR="0044773F" w:rsidRDefault="0044773F" w:rsidP="0044773F">
      <w:pPr>
        <w:jc w:val="both"/>
      </w:pPr>
      <w:r w:rsidRPr="0044773F">
        <w:drawing>
          <wp:inline distT="0" distB="0" distL="0" distR="0" wp14:anchorId="7BF0BDEA" wp14:editId="0160D7B1">
            <wp:extent cx="3700268" cy="104162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767" cy="1044014"/>
                    </a:xfrm>
                    <a:prstGeom prst="rect">
                      <a:avLst/>
                    </a:prstGeom>
                    <a:noFill/>
                    <a:ln>
                      <a:noFill/>
                    </a:ln>
                  </pic:spPr>
                </pic:pic>
              </a:graphicData>
            </a:graphic>
          </wp:inline>
        </w:drawing>
      </w:r>
    </w:p>
    <w:p w14:paraId="015C917C" w14:textId="77777777" w:rsidR="0044773F" w:rsidRDefault="0044773F" w:rsidP="0044773F">
      <w:pPr>
        <w:jc w:val="both"/>
      </w:pPr>
    </w:p>
    <w:p w14:paraId="121D94D6" w14:textId="77777777" w:rsidR="0044773F" w:rsidRDefault="0044773F" w:rsidP="0044773F">
      <w:pPr>
        <w:jc w:val="both"/>
      </w:pPr>
    </w:p>
    <w:p w14:paraId="77763894" w14:textId="45F63A0B" w:rsidR="0044773F" w:rsidRDefault="0044773F" w:rsidP="0044773F">
      <w:pPr>
        <w:jc w:val="both"/>
      </w:pPr>
      <w:proofErr w:type="spellStart"/>
      <w:r>
        <w:lastRenderedPageBreak/>
        <w:t>Dipidol</w:t>
      </w:r>
      <w:proofErr w:type="spellEnd"/>
      <w:r>
        <w:t xml:space="preserve"> 500</w:t>
      </w:r>
    </w:p>
    <w:p w14:paraId="0D656D9F" w14:textId="77777777" w:rsidR="0044773F" w:rsidRDefault="0044773F" w:rsidP="0044773F">
      <w:pPr>
        <w:jc w:val="both"/>
      </w:pPr>
      <w:r>
        <w:t xml:space="preserve">Los adultos y adolescentes de 15 años de edad o mayores (&gt;53 kg) pueden tomar 500 mg de </w:t>
      </w:r>
      <w:proofErr w:type="spellStart"/>
      <w:r>
        <w:t>dipirona</w:t>
      </w:r>
      <w:proofErr w:type="spellEnd"/>
      <w:r>
        <w:t xml:space="preserve"> en una dosis única, que se puede administrar hasta 6 veces al día, en intervalos de 4 a 6 horas, correspondiente a una dosis máxima diaria de 3.000 mg.</w:t>
      </w:r>
    </w:p>
    <w:p w14:paraId="072B16F3" w14:textId="13E38B3E" w:rsidR="0044773F" w:rsidRDefault="0044773F" w:rsidP="0044773F">
      <w:pPr>
        <w:jc w:val="both"/>
      </w:pPr>
      <w:r>
        <w:t>La siguiente tabla muestra las dosis únicas recomendadas y las dosis máximas diarias según el peso o la edad:</w:t>
      </w:r>
    </w:p>
    <w:p w14:paraId="1B619787" w14:textId="30A8319B" w:rsidR="0044773F" w:rsidRDefault="0044773F" w:rsidP="0044773F">
      <w:pPr>
        <w:jc w:val="both"/>
      </w:pPr>
      <w:r w:rsidRPr="0044773F">
        <w:drawing>
          <wp:inline distT="0" distB="0" distL="0" distR="0" wp14:anchorId="23E11E0C" wp14:editId="4E4BAB7F">
            <wp:extent cx="4033186" cy="43732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3309" cy="446010"/>
                    </a:xfrm>
                    <a:prstGeom prst="rect">
                      <a:avLst/>
                    </a:prstGeom>
                    <a:noFill/>
                    <a:ln>
                      <a:noFill/>
                    </a:ln>
                  </pic:spPr>
                </pic:pic>
              </a:graphicData>
            </a:graphic>
          </wp:inline>
        </w:drawing>
      </w:r>
    </w:p>
    <w:p w14:paraId="00E33116" w14:textId="77777777" w:rsidR="0044773F" w:rsidRDefault="0044773F" w:rsidP="0044773F">
      <w:pPr>
        <w:jc w:val="both"/>
      </w:pPr>
      <w:r>
        <w:t>Este medicamento es para su uso a corto plazo. En caso de que el tratamiento deba de prolongarse más de una semana, deberá llevarse a cabo una vigilancia estrecha de la aparición de signos o síntomas de agranulocitosis y se realizarán, a criterio médico, controles del recuento sanguíneo, incluyendo la fórmula leucocitaria (ver Precauciones y Advertencias y Reacciones Adversas).</w:t>
      </w:r>
    </w:p>
    <w:p w14:paraId="26DEB697" w14:textId="77777777" w:rsidR="0044773F" w:rsidRDefault="0044773F" w:rsidP="0044773F">
      <w:pPr>
        <w:jc w:val="both"/>
      </w:pPr>
      <w:r>
        <w:t>Población pediátrica</w:t>
      </w:r>
    </w:p>
    <w:p w14:paraId="490F8F08" w14:textId="77777777" w:rsidR="0044773F" w:rsidRDefault="0044773F" w:rsidP="0044773F">
      <w:pPr>
        <w:jc w:val="both"/>
      </w:pPr>
      <w:proofErr w:type="spellStart"/>
      <w:r>
        <w:t>Dipidol</w:t>
      </w:r>
      <w:proofErr w:type="spellEnd"/>
      <w:r>
        <w:t xml:space="preserve"> 500 comprimido no se recomienda para niños menores de 15 años de edad debido a la cantidad fija de 500 mg de </w:t>
      </w:r>
      <w:proofErr w:type="spellStart"/>
      <w:r>
        <w:t>dipirona</w:t>
      </w:r>
      <w:proofErr w:type="spellEnd"/>
      <w:r>
        <w:t xml:space="preserve"> que contiene cada comprimido. Existen disponibles otras formas farmacéuticas/dosis como lo son </w:t>
      </w:r>
      <w:proofErr w:type="spellStart"/>
      <w:r>
        <w:t>Dipidol</w:t>
      </w:r>
      <w:proofErr w:type="spellEnd"/>
      <w:r>
        <w:t xml:space="preserve"> (Solución gotas orales) </w:t>
      </w:r>
      <w:proofErr w:type="gramStart"/>
      <w:r>
        <w:t xml:space="preserve">y  </w:t>
      </w:r>
      <w:proofErr w:type="spellStart"/>
      <w:r>
        <w:t>Dipidol</w:t>
      </w:r>
      <w:proofErr w:type="spellEnd"/>
      <w:proofErr w:type="gramEnd"/>
      <w:r>
        <w:t xml:space="preserve"> 250 (Jarabe) que se pueden administrar de manera adecuada a niños más pequeños.</w:t>
      </w:r>
    </w:p>
    <w:p w14:paraId="74EEF284" w14:textId="77777777" w:rsidR="0044773F" w:rsidRDefault="0044773F" w:rsidP="0044773F">
      <w:pPr>
        <w:jc w:val="both"/>
      </w:pPr>
      <w:r>
        <w:t>Poblaciones especiales</w:t>
      </w:r>
    </w:p>
    <w:p w14:paraId="0DDABAED" w14:textId="77777777" w:rsidR="0044773F" w:rsidRDefault="0044773F" w:rsidP="0044773F">
      <w:pPr>
        <w:jc w:val="both"/>
      </w:pPr>
      <w:r>
        <w:t>Personas de edad avanzada, pacientes debilitados y pacientes con aclaramiento de creatinina disminuido</w:t>
      </w:r>
    </w:p>
    <w:p w14:paraId="1B41CB13" w14:textId="77777777" w:rsidR="0044773F" w:rsidRDefault="0044773F" w:rsidP="0044773F">
      <w:pPr>
        <w:jc w:val="both"/>
      </w:pPr>
      <w:r>
        <w:t xml:space="preserve">La dosis se debe reducir en personas de edad avanzada, en pacientes debilitados y en aquellos con aclaramiento de creatinina disminuido, ya que la eliminación de los metabolitos de la </w:t>
      </w:r>
      <w:proofErr w:type="spellStart"/>
      <w:r>
        <w:t>dipirona</w:t>
      </w:r>
      <w:proofErr w:type="spellEnd"/>
      <w:r>
        <w:t xml:space="preserve"> se puede retrasar.</w:t>
      </w:r>
    </w:p>
    <w:p w14:paraId="46185B7D" w14:textId="77777777" w:rsidR="0044773F" w:rsidRDefault="0044773F" w:rsidP="0044773F">
      <w:pPr>
        <w:jc w:val="both"/>
      </w:pPr>
      <w:r>
        <w:t>Insuficiencia hepática y renal</w:t>
      </w:r>
    </w:p>
    <w:p w14:paraId="2F7A9E1B" w14:textId="77777777" w:rsidR="0044773F" w:rsidRDefault="0044773F" w:rsidP="0044773F">
      <w:pPr>
        <w:jc w:val="both"/>
      </w:pPr>
      <w:r>
        <w:t xml:space="preserve">Dado que en casos de insuficiencia renal o hepática la velocidad de eliminación disminuye, se debe evitar la administración de dosis elevadas repetidas. En tratamientos de corta duración no es necesaria una reducción de la dosis. Hasta la fecha, no se dispone de experiencia suficiente en tratamientos prolongados con </w:t>
      </w:r>
      <w:proofErr w:type="spellStart"/>
      <w:r>
        <w:t>dipirona</w:t>
      </w:r>
      <w:proofErr w:type="spellEnd"/>
      <w:r>
        <w:t xml:space="preserve"> en pacientes con insuficiencia hepática y renal grave.</w:t>
      </w:r>
    </w:p>
    <w:p w14:paraId="0E104788" w14:textId="77777777" w:rsidR="0044773F" w:rsidRDefault="0044773F" w:rsidP="0044773F">
      <w:pPr>
        <w:jc w:val="both"/>
      </w:pPr>
      <w:r>
        <w:t>Forma de administración</w:t>
      </w:r>
    </w:p>
    <w:p w14:paraId="2194D817" w14:textId="77777777" w:rsidR="0044773F" w:rsidRDefault="0044773F" w:rsidP="0044773F">
      <w:pPr>
        <w:jc w:val="both"/>
      </w:pPr>
      <w:proofErr w:type="spellStart"/>
      <w:r>
        <w:t>Dipidol</w:t>
      </w:r>
      <w:proofErr w:type="spellEnd"/>
      <w:r>
        <w:t xml:space="preserve"> </w:t>
      </w:r>
    </w:p>
    <w:p w14:paraId="6632C039" w14:textId="77777777" w:rsidR="0044773F" w:rsidRDefault="0044773F" w:rsidP="0044773F">
      <w:pPr>
        <w:jc w:val="both"/>
      </w:pPr>
      <w:r>
        <w:t>La solución gotas orales se administra por vía oral con un poco de agua.</w:t>
      </w:r>
    </w:p>
    <w:p w14:paraId="44052AB1" w14:textId="77777777" w:rsidR="0044773F" w:rsidRDefault="0044773F" w:rsidP="0044773F">
      <w:pPr>
        <w:jc w:val="both"/>
      </w:pPr>
      <w:proofErr w:type="spellStart"/>
      <w:r>
        <w:t>Dipidol</w:t>
      </w:r>
      <w:proofErr w:type="spellEnd"/>
      <w:r>
        <w:t xml:space="preserve"> 250</w:t>
      </w:r>
    </w:p>
    <w:p w14:paraId="154395EE" w14:textId="77777777" w:rsidR="0044773F" w:rsidRDefault="0044773F" w:rsidP="0044773F">
      <w:pPr>
        <w:jc w:val="both"/>
      </w:pPr>
      <w:r>
        <w:t xml:space="preserve">Este medicamento se administra por vía oral. </w:t>
      </w:r>
    </w:p>
    <w:p w14:paraId="5CDB85D4" w14:textId="77777777" w:rsidR="0044773F" w:rsidRDefault="0044773F" w:rsidP="0044773F">
      <w:pPr>
        <w:jc w:val="both"/>
      </w:pPr>
      <w:r>
        <w:t xml:space="preserve">Para una dosificación exacta, los envases contienen un vasito graduado de 15 </w:t>
      </w:r>
      <w:proofErr w:type="spellStart"/>
      <w:r>
        <w:t>mL</w:t>
      </w:r>
      <w:proofErr w:type="spellEnd"/>
      <w:r>
        <w:t xml:space="preserve">. Se recomienda seguir los siguientes pasos: </w:t>
      </w:r>
    </w:p>
    <w:p w14:paraId="6CAA02F5" w14:textId="77777777" w:rsidR="0044773F" w:rsidRDefault="0044773F" w:rsidP="0044773F">
      <w:pPr>
        <w:jc w:val="both"/>
      </w:pPr>
      <w:r>
        <w:t xml:space="preserve">1. Agitar el frasco antes de su utilización. </w:t>
      </w:r>
    </w:p>
    <w:p w14:paraId="51407540" w14:textId="77777777" w:rsidR="0044773F" w:rsidRDefault="0044773F" w:rsidP="0044773F">
      <w:pPr>
        <w:jc w:val="both"/>
      </w:pPr>
      <w:r>
        <w:lastRenderedPageBreak/>
        <w:t>2. Dosificar la cantidad prescrita, administrar directamente con el vasito dosificador.</w:t>
      </w:r>
    </w:p>
    <w:p w14:paraId="30DF0905" w14:textId="77777777" w:rsidR="0044773F" w:rsidRDefault="0044773F" w:rsidP="0044773F">
      <w:pPr>
        <w:jc w:val="both"/>
      </w:pPr>
      <w:r>
        <w:t>3. El vasito dosificador debe lavarse y secarse después de cada toma.</w:t>
      </w:r>
    </w:p>
    <w:p w14:paraId="7769C673" w14:textId="77777777" w:rsidR="0044773F" w:rsidRDefault="0044773F" w:rsidP="0044773F">
      <w:pPr>
        <w:jc w:val="both"/>
      </w:pPr>
      <w:r>
        <w:t xml:space="preserve">Para pacientes con molestias gástricas se recomienda tomar el medicamento con leche y/o durante </w:t>
      </w:r>
      <w:proofErr w:type="gramStart"/>
      <w:r>
        <w:t>las comida</w:t>
      </w:r>
      <w:proofErr w:type="gramEnd"/>
      <w:r>
        <w:t>.</w:t>
      </w:r>
    </w:p>
    <w:p w14:paraId="2FEF2E7A" w14:textId="77777777" w:rsidR="0044773F" w:rsidRDefault="0044773F" w:rsidP="0044773F">
      <w:pPr>
        <w:jc w:val="both"/>
      </w:pPr>
      <w:proofErr w:type="spellStart"/>
      <w:r>
        <w:t>Dipidol</w:t>
      </w:r>
      <w:proofErr w:type="spellEnd"/>
      <w:r>
        <w:t xml:space="preserve"> 500</w:t>
      </w:r>
    </w:p>
    <w:p w14:paraId="05D6CC2D" w14:textId="77777777" w:rsidR="0044773F" w:rsidRDefault="0044773F" w:rsidP="0044773F">
      <w:pPr>
        <w:jc w:val="both"/>
      </w:pPr>
      <w:r>
        <w:t>Los comprimidos deben ingerirse enteros, sin masticar, con ayuda de un poco de líquido.</w:t>
      </w:r>
    </w:p>
    <w:p w14:paraId="1C638343" w14:textId="77777777" w:rsidR="0044773F" w:rsidRDefault="0044773F" w:rsidP="0044773F">
      <w:pPr>
        <w:jc w:val="both"/>
      </w:pPr>
    </w:p>
    <w:p w14:paraId="30AF5B8F" w14:textId="77777777" w:rsidR="0044773F" w:rsidRDefault="0044773F" w:rsidP="0044773F">
      <w:pPr>
        <w:jc w:val="both"/>
      </w:pPr>
      <w:r>
        <w:t>CONTRAINDICACIONES:</w:t>
      </w:r>
    </w:p>
    <w:p w14:paraId="52585BF5" w14:textId="77777777" w:rsidR="0044773F" w:rsidRDefault="0044773F" w:rsidP="0044773F">
      <w:pPr>
        <w:jc w:val="both"/>
      </w:pPr>
      <w:r>
        <w:t xml:space="preserve">La </w:t>
      </w:r>
      <w:proofErr w:type="spellStart"/>
      <w:r>
        <w:t>dipirona</w:t>
      </w:r>
      <w:proofErr w:type="spellEnd"/>
      <w:r>
        <w:t xml:space="preserve"> no se debe usar en:</w:t>
      </w:r>
    </w:p>
    <w:p w14:paraId="22CCAC22" w14:textId="77777777" w:rsidR="0044773F" w:rsidRDefault="0044773F" w:rsidP="0044773F">
      <w:pPr>
        <w:jc w:val="both"/>
      </w:pPr>
      <w:r>
        <w:t xml:space="preserve">-Hipersensibilidad al principio activo, o reacciones hematológicas a medicamentos que contienen </w:t>
      </w:r>
      <w:proofErr w:type="spellStart"/>
      <w:r>
        <w:t>dipirona</w:t>
      </w:r>
      <w:proofErr w:type="spellEnd"/>
      <w:r>
        <w:t xml:space="preserve"> o a alguno de los excipientes.</w:t>
      </w:r>
    </w:p>
    <w:p w14:paraId="20F45DEF" w14:textId="77777777" w:rsidR="0044773F" w:rsidRDefault="0044773F" w:rsidP="0044773F">
      <w:pPr>
        <w:jc w:val="both"/>
      </w:pPr>
      <w:r>
        <w:t xml:space="preserve">-Hipersensibilidad a otras pirazolonas o </w:t>
      </w:r>
      <w:proofErr w:type="spellStart"/>
      <w:r>
        <w:t>pirazolidinas</w:t>
      </w:r>
      <w:proofErr w:type="spellEnd"/>
      <w:r>
        <w:t xml:space="preserve"> (</w:t>
      </w:r>
      <w:proofErr w:type="spellStart"/>
      <w:r>
        <w:t>isopropilaminofenazona</w:t>
      </w:r>
      <w:proofErr w:type="spellEnd"/>
      <w:r>
        <w:t xml:space="preserve">, </w:t>
      </w:r>
      <w:proofErr w:type="spellStart"/>
      <w:r>
        <w:t>propifenazona</w:t>
      </w:r>
      <w:proofErr w:type="spellEnd"/>
      <w:r>
        <w:t xml:space="preserve">, </w:t>
      </w:r>
      <w:proofErr w:type="spellStart"/>
      <w:r>
        <w:t>fenazona</w:t>
      </w:r>
      <w:proofErr w:type="spellEnd"/>
      <w:r>
        <w:t xml:space="preserve"> y fenilbutazona).</w:t>
      </w:r>
    </w:p>
    <w:p w14:paraId="59C45B89" w14:textId="77777777" w:rsidR="0044773F" w:rsidRDefault="0044773F" w:rsidP="0044773F">
      <w:pPr>
        <w:jc w:val="both"/>
      </w:pPr>
      <w:r>
        <w:t>-Pacientes con síndrome conocido de asma por analgésicos o pacientes con intolerancia conocida a los analgésicos, del tipo urticaria-angioedema, es decir, pacientes con broncoespasmo u otras formas de reacción anafilactoide en respuesta a los salicilatos, paracetamol u otros analgésicos no narcóticos, como por ejemplo diclofenaco, ibuprofeno, indometacina o naproxeno.</w:t>
      </w:r>
    </w:p>
    <w:p w14:paraId="5CF87C12" w14:textId="77777777" w:rsidR="0044773F" w:rsidRDefault="0044773F" w:rsidP="0044773F">
      <w:pPr>
        <w:jc w:val="both"/>
      </w:pPr>
      <w:r>
        <w:t xml:space="preserve">-Pacientes con porfiria hepática </w:t>
      </w:r>
      <w:proofErr w:type="gramStart"/>
      <w:r>
        <w:t>intermitente aguda</w:t>
      </w:r>
      <w:proofErr w:type="gramEnd"/>
      <w:r>
        <w:t xml:space="preserve"> (riesgo de provocar un ataque de porfiria).</w:t>
      </w:r>
    </w:p>
    <w:p w14:paraId="43BCAE8F" w14:textId="77777777" w:rsidR="0044773F" w:rsidRDefault="0044773F" w:rsidP="0044773F">
      <w:pPr>
        <w:jc w:val="both"/>
      </w:pPr>
      <w:r>
        <w:t>-Pacientes con deficiencia genética de glucosa 6-fosfato-deshidrogenasa (riesgo de hemólisis).</w:t>
      </w:r>
    </w:p>
    <w:p w14:paraId="38816CA1" w14:textId="77777777" w:rsidR="0044773F" w:rsidRDefault="0044773F" w:rsidP="0044773F">
      <w:pPr>
        <w:jc w:val="both"/>
      </w:pPr>
      <w:r>
        <w:t>-Pacientes con alteraciones de la función de la médula ósea (p. ej. Durante o después del tratamiento con agentes citostáticos) o enfermedades del sistema hematopoyético.</w:t>
      </w:r>
    </w:p>
    <w:p w14:paraId="58313DAB" w14:textId="77777777" w:rsidR="0044773F" w:rsidRDefault="0044773F" w:rsidP="0044773F">
      <w:pPr>
        <w:jc w:val="both"/>
      </w:pPr>
      <w:r>
        <w:t>-El tercer trimestre de embarazo (ver Restricciones de uso).</w:t>
      </w:r>
    </w:p>
    <w:p w14:paraId="7417B983" w14:textId="77777777" w:rsidR="0044773F" w:rsidRDefault="0044773F" w:rsidP="0044773F">
      <w:pPr>
        <w:jc w:val="both"/>
      </w:pPr>
      <w:r>
        <w:t>-Pacientes que hayan experimentado una reacción cutánea grave en exposiciones previas.</w:t>
      </w:r>
    </w:p>
    <w:p w14:paraId="4D34C21D" w14:textId="77777777" w:rsidR="0044773F" w:rsidRDefault="0044773F" w:rsidP="0044773F">
      <w:pPr>
        <w:jc w:val="both"/>
      </w:pPr>
    </w:p>
    <w:p w14:paraId="7C079F2F" w14:textId="77777777" w:rsidR="0044773F" w:rsidRDefault="0044773F" w:rsidP="0044773F">
      <w:pPr>
        <w:jc w:val="both"/>
      </w:pPr>
      <w:r>
        <w:t>PRECAUCIONES Y ADVERTENCIAS:</w:t>
      </w:r>
    </w:p>
    <w:p w14:paraId="4B72C74F" w14:textId="77777777" w:rsidR="0044773F" w:rsidRDefault="0044773F" w:rsidP="0044773F">
      <w:pPr>
        <w:jc w:val="both"/>
      </w:pPr>
      <w:r>
        <w:t xml:space="preserve">Los pacientes deben ser advertidos especialmente de que la </w:t>
      </w:r>
      <w:proofErr w:type="spellStart"/>
      <w:r>
        <w:t>dipirona</w:t>
      </w:r>
      <w:proofErr w:type="spellEnd"/>
      <w:r>
        <w:t xml:space="preserve"> es un medicamento de prescripción.</w:t>
      </w:r>
    </w:p>
    <w:p w14:paraId="0D54F7A5" w14:textId="77777777" w:rsidR="0044773F" w:rsidRDefault="0044773F" w:rsidP="0044773F">
      <w:pPr>
        <w:jc w:val="both"/>
      </w:pPr>
      <w:r>
        <w:t>Reacciones hematológicas graves (como agranulocitosis o pancitopenia)</w:t>
      </w:r>
    </w:p>
    <w:p w14:paraId="0FAD3588" w14:textId="77777777" w:rsidR="0044773F" w:rsidRDefault="0044773F" w:rsidP="0044773F">
      <w:pPr>
        <w:jc w:val="both"/>
      </w:pPr>
      <w:r>
        <w:t xml:space="preserve">La </w:t>
      </w:r>
      <w:proofErr w:type="spellStart"/>
      <w:r>
        <w:t>Dipirona</w:t>
      </w:r>
      <w:proofErr w:type="spellEnd"/>
      <w:r>
        <w:t xml:space="preserve">, es un derivado de la pirazolona y presenta riesgo de agranulocitosis, que es raro pero que puede poner en riesgo la vida del paciente (ver Reacciones Adversas). Este riesgo no depende de la dosis y puede aparecer en cualquier momento del tratamiento, e incluso en pacientes que hayan recibido </w:t>
      </w:r>
      <w:proofErr w:type="spellStart"/>
      <w:r>
        <w:t>dipirona</w:t>
      </w:r>
      <w:proofErr w:type="spellEnd"/>
      <w:r>
        <w:t xml:space="preserve"> con anterioridad sin haber experimentado esta reacción adversa.</w:t>
      </w:r>
    </w:p>
    <w:p w14:paraId="02EB6BEA" w14:textId="77777777" w:rsidR="0044773F" w:rsidRDefault="0044773F" w:rsidP="0044773F">
      <w:pPr>
        <w:jc w:val="both"/>
      </w:pPr>
      <w:r>
        <w:t xml:space="preserve">Dado que la </w:t>
      </w:r>
      <w:proofErr w:type="spellStart"/>
      <w:r>
        <w:t>dipirona</w:t>
      </w:r>
      <w:proofErr w:type="spellEnd"/>
      <w:r>
        <w:t xml:space="preserve"> está indicada únicamente para dolor agudo y episodios de fiebre alta, se recomienda que la duración del tratamiento no exceda de una semana. En caso de ser necesario </w:t>
      </w:r>
      <w:r>
        <w:lastRenderedPageBreak/>
        <w:t xml:space="preserve">prolongar el tratamiento durante más de una semana, deberá llevarse a cabo una vigilancia estrecha de la aparición de signos o síntomas de agranulocitosis y se realizarán, a criterio médico, controles del recuento sanguíneo, incluyendo la fórmula leucocitaria (ver Posología y Modo de uso; y Reacciones Adversas). </w:t>
      </w:r>
    </w:p>
    <w:p w14:paraId="1C97AAC1" w14:textId="77777777" w:rsidR="0044773F" w:rsidRDefault="0044773F" w:rsidP="0044773F">
      <w:pPr>
        <w:jc w:val="both"/>
      </w:pPr>
      <w:r>
        <w:t xml:space="preserve">Cuando aparezcan signos o síntomas clínicos de agranulocitosis o disminución de hematíes, leucocitos o plaquetas en las pruebas de laboratorio, se debe interrumpir inmediatamente la administración de la </w:t>
      </w:r>
      <w:proofErr w:type="spellStart"/>
      <w:r>
        <w:t>dipirona</w:t>
      </w:r>
      <w:proofErr w:type="spellEnd"/>
      <w:r>
        <w:t xml:space="preserve"> y controlar el recuento sanguíneo (incluyendo la fórmula leucocitaria) hasta que haya vuelto a la normalidad (ver Reacciones Adversas). No se puede esperar a disponer de los resultados de las pruebas analíticas para interrumpir el tratamiento.</w:t>
      </w:r>
    </w:p>
    <w:p w14:paraId="017E712E" w14:textId="77777777" w:rsidR="0044773F" w:rsidRDefault="0044773F" w:rsidP="0044773F">
      <w:pPr>
        <w:jc w:val="both"/>
      </w:pPr>
      <w:r>
        <w:t xml:space="preserve">Todos los pacientes deben ser informados de que deben interrumpir el tratamiento y consultar inmediatamente al médico si durante el tratamiento con </w:t>
      </w:r>
      <w:proofErr w:type="spellStart"/>
      <w:r>
        <w:t>dipirona</w:t>
      </w:r>
      <w:proofErr w:type="spellEnd"/>
      <w:r>
        <w:t xml:space="preserve"> aparecen signos y síntomas indicativos de discrasia sanguínea (por ej. malestar general, infección, fiebre persistente, dolor de garganta, cambios dolorosos en la mucosa de la boca o nariz, hematomas, sangrado, palidez o deterioro inesperado en el estado general). </w:t>
      </w:r>
    </w:p>
    <w:p w14:paraId="6AC8ABA1" w14:textId="77777777" w:rsidR="0044773F" w:rsidRDefault="0044773F" w:rsidP="0044773F">
      <w:pPr>
        <w:jc w:val="both"/>
      </w:pPr>
      <w:r>
        <w:t xml:space="preserve">Los pacientes que muestran reacciones inmunológicas a la </w:t>
      </w:r>
      <w:proofErr w:type="spellStart"/>
      <w:r>
        <w:t>dipirona</w:t>
      </w:r>
      <w:proofErr w:type="spellEnd"/>
      <w:r>
        <w:t xml:space="preserve"> como agranulocitosis, también presentan un alto riesgo de reaccionar del mismo modo a otras pirazolonas y </w:t>
      </w:r>
      <w:proofErr w:type="spellStart"/>
      <w:r>
        <w:t>pirazolidinas</w:t>
      </w:r>
      <w:proofErr w:type="spellEnd"/>
      <w:r>
        <w:t>.</w:t>
      </w:r>
    </w:p>
    <w:p w14:paraId="2F6D28FD" w14:textId="77777777" w:rsidR="0044773F" w:rsidRDefault="0044773F" w:rsidP="0044773F">
      <w:pPr>
        <w:jc w:val="both"/>
      </w:pPr>
      <w:r>
        <w:t xml:space="preserve">No utilizar </w:t>
      </w:r>
      <w:proofErr w:type="spellStart"/>
      <w:r>
        <w:t>Dipirona</w:t>
      </w:r>
      <w:proofErr w:type="spellEnd"/>
      <w:r>
        <w:t xml:space="preserve"> en pacientes en los que no sea posible realizar controles.</w:t>
      </w:r>
    </w:p>
    <w:p w14:paraId="09CA4DB3" w14:textId="77777777" w:rsidR="0044773F" w:rsidRDefault="0044773F" w:rsidP="0044773F">
      <w:pPr>
        <w:jc w:val="both"/>
      </w:pPr>
      <w:r>
        <w:t>Reacciones anafilácticas/anafilactoides y shock anafiláctico</w:t>
      </w:r>
    </w:p>
    <w:p w14:paraId="31139310" w14:textId="77777777" w:rsidR="0044773F" w:rsidRDefault="0044773F" w:rsidP="0044773F">
      <w:pPr>
        <w:jc w:val="both"/>
      </w:pPr>
      <w:r>
        <w:t xml:space="preserve">La </w:t>
      </w:r>
      <w:proofErr w:type="spellStart"/>
      <w:r>
        <w:t>dipirona</w:t>
      </w:r>
      <w:proofErr w:type="spellEnd"/>
      <w:r>
        <w:t xml:space="preserve"> puede producir reacciones anafilácticas y shock anafiláctico que pueden poner en riesgo la vida del paciente (ver Reacciones Adversas).</w:t>
      </w:r>
    </w:p>
    <w:p w14:paraId="56FD87C8" w14:textId="77777777" w:rsidR="0044773F" w:rsidRDefault="0044773F" w:rsidP="0044773F">
      <w:pPr>
        <w:jc w:val="both"/>
      </w:pPr>
      <w:r>
        <w:t xml:space="preserve">El riesgo de posibles reacciones anafilácticas graves con </w:t>
      </w:r>
      <w:proofErr w:type="spellStart"/>
      <w:r>
        <w:t>dipirona</w:t>
      </w:r>
      <w:proofErr w:type="spellEnd"/>
      <w:r>
        <w:t xml:space="preserve"> es más elevado en pacientes con:</w:t>
      </w:r>
    </w:p>
    <w:p w14:paraId="574EDB9F" w14:textId="77777777" w:rsidR="0044773F" w:rsidRDefault="0044773F" w:rsidP="0044773F">
      <w:pPr>
        <w:jc w:val="both"/>
      </w:pPr>
      <w:r>
        <w:t>- Síndrome de asma por analgésicos o intolerancia a los analgésicos, del tipo urticaria-angioedema (ver Contraindicaciones).</w:t>
      </w:r>
    </w:p>
    <w:p w14:paraId="074C460C" w14:textId="77777777" w:rsidR="0044773F" w:rsidRDefault="0044773F" w:rsidP="0044773F">
      <w:pPr>
        <w:jc w:val="both"/>
      </w:pPr>
      <w:r>
        <w:t>- Asma bronquial, especialmente en presencia de rinosinusitis y pólipos nasales.</w:t>
      </w:r>
    </w:p>
    <w:p w14:paraId="1427E153" w14:textId="77777777" w:rsidR="0044773F" w:rsidRDefault="0044773F" w:rsidP="0044773F">
      <w:pPr>
        <w:jc w:val="both"/>
      </w:pPr>
      <w:r>
        <w:t>- Urticaria crónica.</w:t>
      </w:r>
    </w:p>
    <w:p w14:paraId="58FBF203" w14:textId="77777777" w:rsidR="0044773F" w:rsidRDefault="0044773F" w:rsidP="0044773F">
      <w:pPr>
        <w:jc w:val="both"/>
      </w:pPr>
      <w:r>
        <w:t xml:space="preserve">- Intolerancia a colorantes (p. ej. </w:t>
      </w:r>
      <w:proofErr w:type="spellStart"/>
      <w:r>
        <w:t>tartracina</w:t>
      </w:r>
      <w:proofErr w:type="spellEnd"/>
      <w:r>
        <w:t>) y/o conservantes (por ejemplo, benzoatos).</w:t>
      </w:r>
    </w:p>
    <w:p w14:paraId="54803428" w14:textId="77777777" w:rsidR="0044773F" w:rsidRDefault="0044773F" w:rsidP="0044773F">
      <w:pPr>
        <w:jc w:val="both"/>
      </w:pPr>
      <w:r>
        <w:t>- Intolerancia al alcohol; estos pacientes reaccionan incluso a pequeñas cantidades de bebidas alcohólicas con síntomas como estornudos, lagrimeo y eritema facial intenso. Una intolerancia al alcohol de este tipo puede indicar un síndrome de asma por analgésicos no diagnosticado hasta la fecha (ver Contraindicaciones).</w:t>
      </w:r>
    </w:p>
    <w:p w14:paraId="555DBEEB" w14:textId="77777777" w:rsidR="0044773F" w:rsidRDefault="0044773F" w:rsidP="0044773F">
      <w:pPr>
        <w:jc w:val="both"/>
      </w:pPr>
      <w:r>
        <w:t xml:space="preserve">Por consiguiente, se requiere una precaución especial al utilizar </w:t>
      </w:r>
      <w:proofErr w:type="spellStart"/>
      <w:r>
        <w:t>dipirona</w:t>
      </w:r>
      <w:proofErr w:type="spellEnd"/>
      <w:r>
        <w:t xml:space="preserve"> en pacientes con asma o atopía.</w:t>
      </w:r>
    </w:p>
    <w:p w14:paraId="087215CA" w14:textId="77777777" w:rsidR="0044773F" w:rsidRDefault="0044773F" w:rsidP="0044773F">
      <w:pPr>
        <w:jc w:val="both"/>
      </w:pPr>
      <w:r>
        <w:t xml:space="preserve">Antes de la administración de la </w:t>
      </w:r>
      <w:proofErr w:type="spellStart"/>
      <w:r>
        <w:t>dipirona</w:t>
      </w:r>
      <w:proofErr w:type="spellEnd"/>
      <w:r>
        <w:t xml:space="preserve"> se debe preguntar al paciente si presenta alguna de las características mencionadas anteriormente o en el apartado de contraindicaciones. En pacientes con riesgo elevado de reacciones anafilactoides que no presenten alguna situación que contraindique el uso de </w:t>
      </w:r>
      <w:proofErr w:type="spellStart"/>
      <w:r>
        <w:t>dipirona</w:t>
      </w:r>
      <w:proofErr w:type="spellEnd"/>
      <w:r>
        <w:t>, se deberá valorar si es pertinente el tratamiento. En caso de que se administre, el paciente debe ser controlado estrechamente por el médico y se debe garantizar la disponibilidad de medidas de urgencia.</w:t>
      </w:r>
    </w:p>
    <w:p w14:paraId="1BBAA6C0" w14:textId="77777777" w:rsidR="0044773F" w:rsidRDefault="0044773F" w:rsidP="0044773F">
      <w:pPr>
        <w:jc w:val="both"/>
      </w:pPr>
      <w:r>
        <w:lastRenderedPageBreak/>
        <w:t xml:space="preserve">Los pacientes que muestran reacciones anafilácticas u otras reacciones inmunológicas a la </w:t>
      </w:r>
      <w:proofErr w:type="spellStart"/>
      <w:r>
        <w:t>dipirona</w:t>
      </w:r>
      <w:proofErr w:type="spellEnd"/>
      <w:r>
        <w:t xml:space="preserve">, también presentan un alto riesgo de reaccionar del mismo modo a otras pirazolonas, </w:t>
      </w:r>
      <w:proofErr w:type="spellStart"/>
      <w:r>
        <w:t>pirazolidinas</w:t>
      </w:r>
      <w:proofErr w:type="spellEnd"/>
      <w:r>
        <w:t xml:space="preserve"> y otros analgésicos no narcóticos.</w:t>
      </w:r>
    </w:p>
    <w:p w14:paraId="629BC859" w14:textId="77777777" w:rsidR="0044773F" w:rsidRDefault="0044773F" w:rsidP="0044773F">
      <w:pPr>
        <w:jc w:val="both"/>
      </w:pPr>
      <w:r>
        <w:t>Reacciones de hipotensión grave</w:t>
      </w:r>
    </w:p>
    <w:p w14:paraId="0D61EBCE" w14:textId="77777777" w:rsidR="0044773F" w:rsidRDefault="0044773F" w:rsidP="0044773F">
      <w:pPr>
        <w:jc w:val="both"/>
      </w:pPr>
      <w:r>
        <w:t xml:space="preserve">La </w:t>
      </w:r>
      <w:proofErr w:type="spellStart"/>
      <w:r>
        <w:t>dipirona</w:t>
      </w:r>
      <w:proofErr w:type="spellEnd"/>
      <w:r>
        <w:t xml:space="preserve"> puede provocar reacciones de hipotensión (ver Reacciones Adversas). Estas reacciones pueden ser dependientes de la dosis. El riesgo de experimentar este tipo de reacciones también se ve incrementado en caso de:</w:t>
      </w:r>
    </w:p>
    <w:p w14:paraId="009FFFC7" w14:textId="77777777" w:rsidR="0044773F" w:rsidRDefault="0044773F" w:rsidP="0044773F">
      <w:pPr>
        <w:jc w:val="both"/>
      </w:pPr>
      <w:r>
        <w:t>-Pacientes con, por ejemplo, hipotensión arterial preexistente, hipovolemia o deshidratación, inestabilidad circulatoria o insuficiencia circulatoria incipiente (p. ej. en pacientes con infarto agudo de miocardio o politraumatismo).</w:t>
      </w:r>
    </w:p>
    <w:p w14:paraId="152422C7" w14:textId="77777777" w:rsidR="0044773F" w:rsidRDefault="0044773F" w:rsidP="0044773F">
      <w:pPr>
        <w:jc w:val="both"/>
      </w:pPr>
      <w:r>
        <w:t>-Pacientes con fiebre alta.</w:t>
      </w:r>
    </w:p>
    <w:p w14:paraId="2656E996" w14:textId="77777777" w:rsidR="0044773F" w:rsidRDefault="0044773F" w:rsidP="0044773F">
      <w:pPr>
        <w:jc w:val="both"/>
      </w:pPr>
      <w:r>
        <w:t>Por ello, en estos pacientes, la indicación debe ser establecida con especial atención y en caso de administración, ésta debe supervisarse estrechamente. Pueden ser necesarias medidas preventivas (p. ej. estabilización de la circulación) para reducir el riesgo de hipotensión.</w:t>
      </w:r>
    </w:p>
    <w:p w14:paraId="6F4BF4CC" w14:textId="77777777" w:rsidR="0044773F" w:rsidRDefault="0044773F" w:rsidP="0044773F">
      <w:pPr>
        <w:jc w:val="both"/>
      </w:pPr>
      <w:r>
        <w:t xml:space="preserve">El uso de la </w:t>
      </w:r>
      <w:proofErr w:type="spellStart"/>
      <w:r>
        <w:t>dipirona</w:t>
      </w:r>
      <w:proofErr w:type="spellEnd"/>
      <w:r>
        <w:t xml:space="preserve"> requiere una supervisión estrecha de los parámetros hemodinámicos cuando se usa en los pacientes en los que debe evitarse por completo la caída de la presión arterial, como por ejemplo en pacientes con cardiopatía coronaria grave o con estenosis importante de los vasos sanguíneos cerebrales.</w:t>
      </w:r>
    </w:p>
    <w:p w14:paraId="4FFB1B60" w14:textId="77777777" w:rsidR="0044773F" w:rsidRDefault="0044773F" w:rsidP="0044773F">
      <w:pPr>
        <w:jc w:val="both"/>
      </w:pPr>
      <w:r>
        <w:t>Reacciones cutáneas graves</w:t>
      </w:r>
    </w:p>
    <w:p w14:paraId="6F560B43" w14:textId="77777777" w:rsidR="0044773F" w:rsidRDefault="0044773F" w:rsidP="0044773F">
      <w:pPr>
        <w:jc w:val="both"/>
      </w:pPr>
      <w:r>
        <w:t xml:space="preserve">Se puede presentar casos de reacciones cutáneas que pueden amenazar la vida del paciente con el tratamiento con </w:t>
      </w:r>
      <w:proofErr w:type="spellStart"/>
      <w:r>
        <w:t>dipirona</w:t>
      </w:r>
      <w:proofErr w:type="spellEnd"/>
      <w:r>
        <w:t xml:space="preserve">, como el síndrome de Stevens-Johnson (SSJ) y la necrólisis epidérmica tóxica (NET). Si aparecen signos o síntomas de SSJ o NET (como erupción cutánea progresiva con ampollas o lesiones en la mucosa), el tratamiento con </w:t>
      </w:r>
      <w:proofErr w:type="spellStart"/>
      <w:r>
        <w:t>dipirona</w:t>
      </w:r>
      <w:proofErr w:type="spellEnd"/>
      <w:r>
        <w:t xml:space="preserve"> debe ser suspendido inmediatamente y no debe ser utilizado de nuevo en el paciente.</w:t>
      </w:r>
    </w:p>
    <w:p w14:paraId="52FAFDED" w14:textId="77777777" w:rsidR="0044773F" w:rsidRDefault="0044773F" w:rsidP="0044773F">
      <w:pPr>
        <w:jc w:val="both"/>
      </w:pPr>
      <w:r>
        <w:t>Se debe informar a los pacientes de los signos y síntomas y vigilar estrechamente la aparición de reacciones cutáneas.</w:t>
      </w:r>
    </w:p>
    <w:p w14:paraId="01EC5F38" w14:textId="77777777" w:rsidR="0044773F" w:rsidRDefault="0044773F" w:rsidP="0044773F">
      <w:pPr>
        <w:jc w:val="both"/>
      </w:pPr>
      <w:r>
        <w:t>Hemorragia gastrointestinal</w:t>
      </w:r>
    </w:p>
    <w:p w14:paraId="640D8CF5" w14:textId="77777777" w:rsidR="0044773F" w:rsidRDefault="0044773F" w:rsidP="0044773F">
      <w:pPr>
        <w:jc w:val="both"/>
      </w:pPr>
      <w:r>
        <w:t xml:space="preserve">Se puede presentar casos de hemorragia gastrointestinal en pacientes tratados con </w:t>
      </w:r>
      <w:proofErr w:type="spellStart"/>
      <w:r>
        <w:t>dipirona</w:t>
      </w:r>
      <w:proofErr w:type="spellEnd"/>
      <w:r>
        <w:t xml:space="preserve">. Muchos de estos pacientes habían recibido de forma concomitante otros tratamientos (p.ej. </w:t>
      </w:r>
      <w:proofErr w:type="spellStart"/>
      <w:r>
        <w:t>AINEs</w:t>
      </w:r>
      <w:proofErr w:type="spellEnd"/>
      <w:r>
        <w:t xml:space="preserve">) asociados con la hemorragia gastrointestinal o habían sufrido una sobredosis de </w:t>
      </w:r>
      <w:proofErr w:type="spellStart"/>
      <w:r>
        <w:t>dipirona</w:t>
      </w:r>
      <w:proofErr w:type="spellEnd"/>
      <w:r>
        <w:t>.</w:t>
      </w:r>
    </w:p>
    <w:p w14:paraId="76E573E3" w14:textId="77777777" w:rsidR="0044773F" w:rsidRDefault="0044773F" w:rsidP="0044773F">
      <w:pPr>
        <w:jc w:val="both"/>
      </w:pPr>
      <w:r>
        <w:t>Riesgo en poblaciones específicas</w:t>
      </w:r>
    </w:p>
    <w:p w14:paraId="5B9BB6FC" w14:textId="77777777" w:rsidR="0044773F" w:rsidRDefault="0044773F" w:rsidP="0044773F">
      <w:pPr>
        <w:jc w:val="both"/>
      </w:pPr>
      <w:r>
        <w:t xml:space="preserve">En pacientes de edad avanzada o pacientes con la función renal o hepática alterada, la </w:t>
      </w:r>
      <w:proofErr w:type="spellStart"/>
      <w:r>
        <w:t>dipirona</w:t>
      </w:r>
      <w:proofErr w:type="spellEnd"/>
      <w:r>
        <w:t xml:space="preserve"> sólo se debe utilizar tras una valoración del balance beneficio-riesgo y deben tomarse las medidas de precaución adecuadas (ver Posología y Modo de Uso)</w:t>
      </w:r>
    </w:p>
    <w:p w14:paraId="7FC7D48F" w14:textId="77777777" w:rsidR="0044773F" w:rsidRDefault="0044773F" w:rsidP="0044773F">
      <w:pPr>
        <w:jc w:val="both"/>
      </w:pPr>
      <w:r>
        <w:t>Advertencia sobre excipientes</w:t>
      </w:r>
    </w:p>
    <w:p w14:paraId="30326B2F" w14:textId="77777777" w:rsidR="0044773F" w:rsidRDefault="0044773F" w:rsidP="0044773F">
      <w:pPr>
        <w:jc w:val="both"/>
      </w:pPr>
      <w:proofErr w:type="spellStart"/>
      <w:r>
        <w:t>Dipidol</w:t>
      </w:r>
      <w:proofErr w:type="spellEnd"/>
      <w:r>
        <w:t xml:space="preserve"> – Solución Gotas Orales</w:t>
      </w:r>
    </w:p>
    <w:p w14:paraId="1946C005" w14:textId="77777777" w:rsidR="0044773F" w:rsidRDefault="0044773F" w:rsidP="0044773F">
      <w:pPr>
        <w:jc w:val="both"/>
      </w:pPr>
      <w:r>
        <w:t xml:space="preserve">- Este medicamento </w:t>
      </w:r>
      <w:proofErr w:type="gramStart"/>
      <w:r>
        <w:t>contiene  Metabisulfito</w:t>
      </w:r>
      <w:proofErr w:type="gramEnd"/>
      <w:r>
        <w:t xml:space="preserve"> de Sodio: Este medicamento puede producir reacciones alérgicas graves y broncoespasmo (sensación repentina de ahogo) </w:t>
      </w:r>
    </w:p>
    <w:p w14:paraId="4A414067" w14:textId="77777777" w:rsidR="0044773F" w:rsidRDefault="0044773F" w:rsidP="0044773F">
      <w:pPr>
        <w:jc w:val="both"/>
      </w:pPr>
      <w:r>
        <w:lastRenderedPageBreak/>
        <w:t>-Este medicamento contiene sorbitol 70 %. Los pacientes con intolerancia hereditaria a la fructosa no deben tomar este medicamento.</w:t>
      </w:r>
    </w:p>
    <w:p w14:paraId="44509F49" w14:textId="77777777" w:rsidR="0044773F" w:rsidRDefault="0044773F" w:rsidP="0044773F">
      <w:pPr>
        <w:jc w:val="both"/>
      </w:pPr>
      <w:r>
        <w:t xml:space="preserve">-Este medicamento </w:t>
      </w:r>
      <w:proofErr w:type="gramStart"/>
      <w:r>
        <w:t xml:space="preserve">contiene  </w:t>
      </w:r>
      <w:proofErr w:type="spellStart"/>
      <w:r>
        <w:t>Metil</w:t>
      </w:r>
      <w:proofErr w:type="spellEnd"/>
      <w:proofErr w:type="gramEnd"/>
      <w:r>
        <w:t xml:space="preserve"> Parabeno y Propil Parabeno: puede producir reacciones alérgicas (posiblemente retardadas) </w:t>
      </w:r>
    </w:p>
    <w:p w14:paraId="63FB94A0" w14:textId="77777777" w:rsidR="0044773F" w:rsidRDefault="0044773F" w:rsidP="0044773F">
      <w:pPr>
        <w:jc w:val="both"/>
      </w:pPr>
      <w:r>
        <w:t xml:space="preserve">-Este medicamento contiene 34,5 mg de sodio en cada </w:t>
      </w:r>
      <w:proofErr w:type="spellStart"/>
      <w:r>
        <w:t>mL</w:t>
      </w:r>
      <w:proofErr w:type="spellEnd"/>
      <w:r>
        <w:t xml:space="preserve"> de Solución gotas orales. Esto equivale al 1,7 % de la ingesta diaria máxima de sodio recomendada para un adulto. </w:t>
      </w:r>
    </w:p>
    <w:p w14:paraId="4581A78D" w14:textId="77777777" w:rsidR="0044773F" w:rsidRDefault="0044773F" w:rsidP="0044773F">
      <w:pPr>
        <w:jc w:val="both"/>
      </w:pPr>
      <w:proofErr w:type="spellStart"/>
      <w:r>
        <w:t>Dipidol</w:t>
      </w:r>
      <w:proofErr w:type="spellEnd"/>
      <w:r>
        <w:t xml:space="preserve"> 250- Jarabe</w:t>
      </w:r>
    </w:p>
    <w:p w14:paraId="1A059581" w14:textId="77777777" w:rsidR="0044773F" w:rsidRDefault="0044773F" w:rsidP="0044773F">
      <w:pPr>
        <w:jc w:val="both"/>
      </w:pPr>
      <w:r>
        <w:t>-La formulación contiene Propilenglicol, puede producir síntomas parecidos a los del alcohol, por lo que puede disminuir la capacidad para conducir o manejar maquinaria.</w:t>
      </w:r>
    </w:p>
    <w:p w14:paraId="63454210" w14:textId="77777777" w:rsidR="0044773F" w:rsidRDefault="0044773F" w:rsidP="0044773F">
      <w:pPr>
        <w:jc w:val="both"/>
      </w:pPr>
      <w:r>
        <w:t>-Este medicamento contiene sorbitol. Los pacientes con intolerancia hereditaria a la fructosa no deben tomar este medicamento.</w:t>
      </w:r>
    </w:p>
    <w:p w14:paraId="73045599" w14:textId="77777777" w:rsidR="0044773F" w:rsidRDefault="0044773F" w:rsidP="0044773F">
      <w:pPr>
        <w:jc w:val="both"/>
      </w:pPr>
      <w:r>
        <w:t>-Puede producir reacciones alérgicas (posiblemente retardadas) porque contiene Metilparabeno y Propilparabeno.</w:t>
      </w:r>
    </w:p>
    <w:p w14:paraId="0854BD1B" w14:textId="77777777" w:rsidR="0044773F" w:rsidRDefault="0044773F" w:rsidP="0044773F">
      <w:pPr>
        <w:jc w:val="both"/>
      </w:pPr>
      <w:r>
        <w:t xml:space="preserve">-Este medicamento contiene azúcar. Los pacientes con intolerancia hereditaria a la fructosa (IHF) o problemas de absorción de glucosa o galactosa no deben tomar este medicamento. </w:t>
      </w:r>
    </w:p>
    <w:p w14:paraId="35E7654A" w14:textId="77777777" w:rsidR="0044773F" w:rsidRDefault="0044773F" w:rsidP="0044773F">
      <w:pPr>
        <w:jc w:val="both"/>
      </w:pPr>
      <w:r>
        <w:t xml:space="preserve">Los pacientes con diabetes mellitus deben tener en cuenta que este medicamento contiene 3 g de una mezcla de fructosa y glucosa por cada 5 </w:t>
      </w:r>
      <w:proofErr w:type="spellStart"/>
      <w:r>
        <w:t>mL</w:t>
      </w:r>
      <w:proofErr w:type="spellEnd"/>
      <w:r>
        <w:t xml:space="preserve"> de jarabe. </w:t>
      </w:r>
    </w:p>
    <w:p w14:paraId="09258F5E" w14:textId="77777777" w:rsidR="0044773F" w:rsidRDefault="0044773F" w:rsidP="0044773F">
      <w:pPr>
        <w:jc w:val="both"/>
      </w:pPr>
      <w:r>
        <w:t>Puede producir caries.</w:t>
      </w:r>
    </w:p>
    <w:p w14:paraId="00F9C791" w14:textId="77777777" w:rsidR="0044773F" w:rsidRDefault="0044773F" w:rsidP="0044773F">
      <w:pPr>
        <w:jc w:val="both"/>
      </w:pPr>
      <w:proofErr w:type="spellStart"/>
      <w:r>
        <w:t>Dipidol</w:t>
      </w:r>
      <w:proofErr w:type="spellEnd"/>
      <w:r>
        <w:t xml:space="preserve"> 500- Comprimido</w:t>
      </w:r>
    </w:p>
    <w:p w14:paraId="0969C4EB" w14:textId="77777777" w:rsidR="0044773F" w:rsidRDefault="0044773F" w:rsidP="0044773F">
      <w:pPr>
        <w:jc w:val="both"/>
      </w:pPr>
      <w:r>
        <w:t>Este medicamento contiene 34,5 mg de sodio en cada comprimido. Esto equivale al 1,7 % de la ingesta diaria máxima de sodio recomendada para un adulto.</w:t>
      </w:r>
    </w:p>
    <w:p w14:paraId="39B42A8A" w14:textId="77777777" w:rsidR="0044773F" w:rsidRDefault="0044773F" w:rsidP="0044773F">
      <w:pPr>
        <w:jc w:val="both"/>
      </w:pPr>
      <w:r>
        <w:t>-Este medicamento contiene almidón de maíz</w:t>
      </w:r>
    </w:p>
    <w:p w14:paraId="4FD0B3D4" w14:textId="77777777" w:rsidR="0044773F" w:rsidRDefault="0044773F" w:rsidP="0044773F">
      <w:pPr>
        <w:jc w:val="both"/>
      </w:pPr>
    </w:p>
    <w:p w14:paraId="148FBD4F" w14:textId="77777777" w:rsidR="0044773F" w:rsidRDefault="0044773F" w:rsidP="0044773F">
      <w:pPr>
        <w:jc w:val="both"/>
      </w:pPr>
      <w:r>
        <w:t>REACCIONES ADVERSAS Y EFECTOS COLATERALES:</w:t>
      </w:r>
    </w:p>
    <w:p w14:paraId="695E4BC0" w14:textId="77777777" w:rsidR="0044773F" w:rsidRDefault="0044773F" w:rsidP="0044773F">
      <w:pPr>
        <w:jc w:val="both"/>
      </w:pPr>
      <w:r>
        <w:t xml:space="preserve">Las reacciones adversas se enumeran a continuación por el sistema de clasificación de órganos y frecuencia. Las frecuencias se definen como: Muy frecuentes (≥1/10), frecuentes (≥1/100 a &lt;1/10), poco frecuentes (≥1/1,000 a &lt;1/100), rara (≥1/10,000 a &lt;1/1,000) y muy raras (&lt;1/10,000). </w:t>
      </w:r>
    </w:p>
    <w:p w14:paraId="618CEC99" w14:textId="77777777" w:rsidR="0044773F" w:rsidRDefault="0044773F" w:rsidP="0044773F">
      <w:pPr>
        <w:jc w:val="both"/>
      </w:pPr>
      <w:r>
        <w:t>Trastornos de la sangre y del sistema linfático</w:t>
      </w:r>
    </w:p>
    <w:p w14:paraId="765DA057" w14:textId="77777777" w:rsidR="0044773F" w:rsidRDefault="0044773F" w:rsidP="0044773F">
      <w:pPr>
        <w:jc w:val="both"/>
      </w:pPr>
      <w:r>
        <w:t>Raras: leucopenia.</w:t>
      </w:r>
    </w:p>
    <w:p w14:paraId="00DD25FE" w14:textId="77777777" w:rsidR="0044773F" w:rsidRDefault="0044773F" w:rsidP="0044773F">
      <w:pPr>
        <w:jc w:val="both"/>
      </w:pPr>
      <w:r>
        <w:t>Muy raras: agranulocitosis (incluyendo casos mortales), trombocitopenia</w:t>
      </w:r>
    </w:p>
    <w:p w14:paraId="3F072278" w14:textId="77777777" w:rsidR="0044773F" w:rsidRDefault="0044773F" w:rsidP="0044773F">
      <w:pPr>
        <w:jc w:val="both"/>
      </w:pPr>
      <w:r>
        <w:t>Frecuencia no conocida: sepsis, anemia, aplásica, pancitopenia (incluyendo casos mortales)</w:t>
      </w:r>
    </w:p>
    <w:p w14:paraId="0FC21AFB" w14:textId="77777777" w:rsidR="0044773F" w:rsidRDefault="0044773F" w:rsidP="0044773F">
      <w:pPr>
        <w:jc w:val="both"/>
      </w:pPr>
      <w:r>
        <w:t xml:space="preserve">Se supone que estas reacciones son de naturaleza inmunológica. Pueden aparecer incluso cuando ya se haya utilizado </w:t>
      </w:r>
      <w:proofErr w:type="spellStart"/>
      <w:r>
        <w:t>dipirona</w:t>
      </w:r>
      <w:proofErr w:type="spellEnd"/>
      <w:r>
        <w:t xml:space="preserve"> con anterioridad sin complicaciones.</w:t>
      </w:r>
    </w:p>
    <w:p w14:paraId="2491D5C5" w14:textId="77777777" w:rsidR="0044773F" w:rsidRDefault="0044773F" w:rsidP="0044773F">
      <w:pPr>
        <w:jc w:val="both"/>
      </w:pPr>
      <w:r>
        <w:t xml:space="preserve">La agranulocitosis se manifiesta en forma de fiebre, escalofríos, dolor orofaríngeo, disfagia, estomatitis, rinitis, faringitis, inflamación del tracto genital e inflamación anal. Estos signos o </w:t>
      </w:r>
      <w:r>
        <w:lastRenderedPageBreak/>
        <w:t xml:space="preserve">síntomas pueden ser mínimos en pacientes que estén tomando antibióticos. La </w:t>
      </w:r>
      <w:proofErr w:type="spellStart"/>
      <w:r>
        <w:t>linfoadenopatía</w:t>
      </w:r>
      <w:proofErr w:type="spellEnd"/>
      <w:r>
        <w:t xml:space="preserve"> o esplenomegalia es pequeña o inexistente. La velocidad de sedimentación se incrementa notablemente y los granulocitos se reducen de manera considerable o desaparecen del todo. La hemoglobina, el recuento celular sanguíneo y el recuento de plaquetas pueden ser anormales.</w:t>
      </w:r>
    </w:p>
    <w:p w14:paraId="09C29E18" w14:textId="77777777" w:rsidR="0044773F" w:rsidRDefault="0044773F" w:rsidP="0044773F">
      <w:pPr>
        <w:jc w:val="both"/>
      </w:pPr>
      <w:r>
        <w:t xml:space="preserve">Es necesario advertir al paciente que interrumpa inmediatamente el tratamiento con </w:t>
      </w:r>
      <w:proofErr w:type="spellStart"/>
      <w:r>
        <w:t>dipirona</w:t>
      </w:r>
      <w:proofErr w:type="spellEnd"/>
      <w:r>
        <w:t xml:space="preserve"> y consulte al médico si aparece algún síntoma o signo de agranulocitosis o anemia aplásica.</w:t>
      </w:r>
    </w:p>
    <w:p w14:paraId="0A37A2B0" w14:textId="77777777" w:rsidR="0044773F" w:rsidRDefault="0044773F" w:rsidP="0044773F">
      <w:pPr>
        <w:jc w:val="both"/>
      </w:pPr>
      <w:r>
        <w:t>Trastornos del sistema inmunológico, trastornos de la piel y del tejido subcutáneo</w:t>
      </w:r>
    </w:p>
    <w:p w14:paraId="1368F49C" w14:textId="77777777" w:rsidR="0044773F" w:rsidRDefault="0044773F" w:rsidP="0044773F">
      <w:pPr>
        <w:jc w:val="both"/>
      </w:pPr>
      <w:r>
        <w:t>Poco frecuentes: erupción medicamentosa, reacción cutánea</w:t>
      </w:r>
    </w:p>
    <w:p w14:paraId="3C7CC0C4" w14:textId="77777777" w:rsidR="0044773F" w:rsidRDefault="0044773F" w:rsidP="0044773F">
      <w:pPr>
        <w:jc w:val="both"/>
      </w:pPr>
      <w:r>
        <w:t xml:space="preserve">Raras: reacción anafiláctica, reacción anafilactoide (especialmente tras la administración parenteral), asma en pacientes con síndrome de asma por analgésicos, exantema </w:t>
      </w:r>
      <w:proofErr w:type="spellStart"/>
      <w:r>
        <w:t>maculopapuloso</w:t>
      </w:r>
      <w:proofErr w:type="spellEnd"/>
    </w:p>
    <w:p w14:paraId="18FBEC9B" w14:textId="77777777" w:rsidR="0044773F" w:rsidRDefault="0044773F" w:rsidP="0044773F">
      <w:pPr>
        <w:jc w:val="both"/>
      </w:pPr>
      <w:r>
        <w:t>Muy raras: necrólisis tóxica epidérmica, síndrome de Stevens-Johnson</w:t>
      </w:r>
    </w:p>
    <w:p w14:paraId="13B0C224" w14:textId="77777777" w:rsidR="0044773F" w:rsidRDefault="0044773F" w:rsidP="0044773F">
      <w:pPr>
        <w:jc w:val="both"/>
      </w:pPr>
      <w:r>
        <w:t>Frecuencia no conocida: shock anafiláctico (incluyendo casos mortales), hipersensibilidad</w:t>
      </w:r>
    </w:p>
    <w:p w14:paraId="7F148BA8" w14:textId="77777777" w:rsidR="0044773F" w:rsidRDefault="0044773F" w:rsidP="0044773F">
      <w:pPr>
        <w:jc w:val="both"/>
      </w:pPr>
      <w:r>
        <w:t xml:space="preserve">Las reacciones más leves (p.ej., en piel y mucosas como prurito, quemazón, eritema, </w:t>
      </w:r>
      <w:proofErr w:type="gramStart"/>
      <w:r>
        <w:t>hinchazón</w:t>
      </w:r>
      <w:proofErr w:type="gramEnd"/>
      <w:r>
        <w:t xml:space="preserve"> así como disnea y molestias gastrointestinales) pueden progresar hasta formas más graves (p.ej. urticaria generalizada, angioedema grave incluyendo la zona de la laringe, </w:t>
      </w:r>
      <w:proofErr w:type="spellStart"/>
      <w:r>
        <w:t>broncospasmo</w:t>
      </w:r>
      <w:proofErr w:type="spellEnd"/>
      <w:r>
        <w:t xml:space="preserve"> grave, arritmias, disminución de la presión arterial algunas veces precedida por un aumento de la presión arterial). Por lo tanto, el tratamiento con </w:t>
      </w:r>
      <w:proofErr w:type="spellStart"/>
      <w:r>
        <w:t>dipirona</w:t>
      </w:r>
      <w:proofErr w:type="spellEnd"/>
      <w:r>
        <w:t xml:space="preserve"> debe interrumpirse inmediatamente si aparecen reacciones en la piel. En caso de reacciones cutáneas graves, debe consultarse inmediatamente a un médico.</w:t>
      </w:r>
    </w:p>
    <w:p w14:paraId="523EAF28" w14:textId="77777777" w:rsidR="0044773F" w:rsidRDefault="0044773F" w:rsidP="0044773F">
      <w:pPr>
        <w:jc w:val="both"/>
      </w:pPr>
      <w:r>
        <w:t>Tan pronto como aparezcan signos/síntomas de anafilaxis, debe iniciarse un tratamiento adecuado.</w:t>
      </w:r>
    </w:p>
    <w:p w14:paraId="49D26693" w14:textId="77777777" w:rsidR="0044773F" w:rsidRDefault="0044773F" w:rsidP="0044773F">
      <w:pPr>
        <w:jc w:val="both"/>
      </w:pPr>
      <w:r>
        <w:t xml:space="preserve">Las reacciones anafilácticas pueden presentarse durante o inmediatamente después de la </w:t>
      </w:r>
      <w:proofErr w:type="gramStart"/>
      <w:r>
        <w:t>administración</w:t>
      </w:r>
      <w:proofErr w:type="gramEnd"/>
      <w:r>
        <w:t xml:space="preserve"> pero también horas más tarde. Sin embargo, las reacciones suelen presentarse durante la primera hora después de la administración.</w:t>
      </w:r>
    </w:p>
    <w:p w14:paraId="27B5F576" w14:textId="77777777" w:rsidR="0044773F" w:rsidRDefault="0044773F" w:rsidP="0044773F">
      <w:pPr>
        <w:jc w:val="both"/>
      </w:pPr>
      <w:r>
        <w:t>Trastornos cardíacos</w:t>
      </w:r>
    </w:p>
    <w:p w14:paraId="0A968477" w14:textId="77777777" w:rsidR="0044773F" w:rsidRDefault="0044773F" w:rsidP="0044773F">
      <w:pPr>
        <w:jc w:val="both"/>
      </w:pPr>
      <w:r>
        <w:t xml:space="preserve">Frecuencia no conocida: síndrome de </w:t>
      </w:r>
      <w:proofErr w:type="spellStart"/>
      <w:r>
        <w:t>Kounis</w:t>
      </w:r>
      <w:proofErr w:type="spellEnd"/>
    </w:p>
    <w:p w14:paraId="4B647F7A" w14:textId="77777777" w:rsidR="0044773F" w:rsidRDefault="0044773F" w:rsidP="0044773F">
      <w:pPr>
        <w:jc w:val="both"/>
      </w:pPr>
      <w:r>
        <w:t>Trastornos vasculares</w:t>
      </w:r>
    </w:p>
    <w:p w14:paraId="697B58A3" w14:textId="77777777" w:rsidR="0044773F" w:rsidRDefault="0044773F" w:rsidP="0044773F">
      <w:pPr>
        <w:jc w:val="both"/>
      </w:pPr>
      <w:r>
        <w:t>Frecuentes: hipotensión</w:t>
      </w:r>
    </w:p>
    <w:p w14:paraId="3C0465F1" w14:textId="77777777" w:rsidR="0044773F" w:rsidRDefault="0044773F" w:rsidP="0044773F">
      <w:pPr>
        <w:jc w:val="both"/>
      </w:pPr>
      <w:r>
        <w:t>Muy raras: shock</w:t>
      </w:r>
    </w:p>
    <w:p w14:paraId="0FC7AAA4" w14:textId="77777777" w:rsidR="0044773F" w:rsidRDefault="0044773F" w:rsidP="0044773F">
      <w:pPr>
        <w:jc w:val="both"/>
      </w:pPr>
      <w:r>
        <w:t xml:space="preserve">Las reacciones de hipotensión pueden presentarse durante o después del tratamiento con </w:t>
      </w:r>
      <w:proofErr w:type="spellStart"/>
      <w:r>
        <w:t>dipirona</w:t>
      </w:r>
      <w:proofErr w:type="spellEnd"/>
      <w:r>
        <w:t xml:space="preserve"> y no ir acompañadas de otros signos de reacciones anafilactoides y/o </w:t>
      </w:r>
      <w:proofErr w:type="spellStart"/>
      <w:r>
        <w:t>anfilácticas</w:t>
      </w:r>
      <w:proofErr w:type="spellEnd"/>
      <w:r>
        <w:t>. Estas reacciones pueden derivar en un shock.</w:t>
      </w:r>
    </w:p>
    <w:p w14:paraId="79EA121E" w14:textId="77777777" w:rsidR="0044773F" w:rsidRDefault="0044773F" w:rsidP="0044773F">
      <w:pPr>
        <w:jc w:val="both"/>
      </w:pPr>
      <w:r>
        <w:t>Trastornos gastrointestinales</w:t>
      </w:r>
    </w:p>
    <w:p w14:paraId="23C6001D" w14:textId="77777777" w:rsidR="0044773F" w:rsidRDefault="0044773F" w:rsidP="0044773F">
      <w:pPr>
        <w:jc w:val="both"/>
      </w:pPr>
      <w:r>
        <w:t>Frecuencia no conocida: hemorragia gastrointestinal</w:t>
      </w:r>
    </w:p>
    <w:p w14:paraId="7DFF0BB5" w14:textId="77777777" w:rsidR="0044773F" w:rsidRDefault="0044773F" w:rsidP="0044773F">
      <w:pPr>
        <w:jc w:val="both"/>
      </w:pPr>
      <w:r>
        <w:t>Trastornos renales y urinarios</w:t>
      </w:r>
    </w:p>
    <w:p w14:paraId="3C712148" w14:textId="77777777" w:rsidR="0044773F" w:rsidRDefault="0044773F" w:rsidP="0044773F">
      <w:pPr>
        <w:jc w:val="both"/>
      </w:pPr>
      <w:r>
        <w:t>Muy raras: fallo renal agudo, proteinuria, oliguria, anuria, insuficiencia renal, nefritis intersticial</w:t>
      </w:r>
    </w:p>
    <w:p w14:paraId="5B168AD1" w14:textId="77777777" w:rsidR="0044773F" w:rsidRDefault="0044773F" w:rsidP="0044773F">
      <w:pPr>
        <w:jc w:val="both"/>
      </w:pPr>
      <w:r>
        <w:lastRenderedPageBreak/>
        <w:t>Frecuencia no conocida: cromaturia</w:t>
      </w:r>
    </w:p>
    <w:p w14:paraId="0AD84E98" w14:textId="77777777" w:rsidR="0044773F" w:rsidRDefault="0044773F" w:rsidP="0044773F">
      <w:pPr>
        <w:jc w:val="both"/>
      </w:pPr>
      <w:r>
        <w:t xml:space="preserve">La eliminación del ácido </w:t>
      </w:r>
      <w:proofErr w:type="spellStart"/>
      <w:r>
        <w:t>rubazónico</w:t>
      </w:r>
      <w:proofErr w:type="spellEnd"/>
      <w:r>
        <w:t xml:space="preserve">, un metabolito inocuo de la </w:t>
      </w:r>
      <w:proofErr w:type="spellStart"/>
      <w:r>
        <w:t>dipirona</w:t>
      </w:r>
      <w:proofErr w:type="spellEnd"/>
      <w:r>
        <w:t>, puede causar una coloración rojiza de la orina, la cual desaparece después de la suspensión del tratamiento.</w:t>
      </w:r>
    </w:p>
    <w:p w14:paraId="274BC874" w14:textId="77777777" w:rsidR="0044773F" w:rsidRDefault="0044773F" w:rsidP="0044773F">
      <w:pPr>
        <w:jc w:val="both"/>
      </w:pPr>
      <w:r>
        <w:t>Notificación de sospechas de reacciones adversas:</w:t>
      </w:r>
    </w:p>
    <w:p w14:paraId="2155DC90" w14:textId="77777777" w:rsidR="0044773F" w:rsidRDefault="0044773F" w:rsidP="0044773F">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75FB52A8" w14:textId="77777777" w:rsidR="0044773F" w:rsidRDefault="0044773F" w:rsidP="0044773F">
      <w:pPr>
        <w:jc w:val="both"/>
      </w:pPr>
    </w:p>
    <w:p w14:paraId="459EE8C6" w14:textId="77777777" w:rsidR="0044773F" w:rsidRDefault="0044773F" w:rsidP="0044773F">
      <w:pPr>
        <w:jc w:val="both"/>
      </w:pPr>
      <w:r>
        <w:t xml:space="preserve">INTERACCIONES CON MEDICAMENTOS Y ALIMENTOS: </w:t>
      </w:r>
    </w:p>
    <w:p w14:paraId="7C54C393" w14:textId="77777777" w:rsidR="0044773F" w:rsidRDefault="0044773F" w:rsidP="0044773F">
      <w:pPr>
        <w:jc w:val="both"/>
      </w:pPr>
      <w:r>
        <w:t>Metotrexato y otros antineoplásicos</w:t>
      </w:r>
    </w:p>
    <w:p w14:paraId="5ADFE1D3" w14:textId="77777777" w:rsidR="0044773F" w:rsidRDefault="0044773F" w:rsidP="0044773F">
      <w:pPr>
        <w:jc w:val="both"/>
      </w:pPr>
      <w:r>
        <w:t xml:space="preserve">La administración concomitante de </w:t>
      </w:r>
      <w:proofErr w:type="spellStart"/>
      <w:r>
        <w:t>dipirona</w:t>
      </w:r>
      <w:proofErr w:type="spellEnd"/>
      <w:r>
        <w:t xml:space="preserve"> con metotrexato u otros antineoplásicos puede aumentar la toxicidad sanguínea de los antineoplásicos particularmente en pacientes de edad avanzada. Por consiguiente, se debe evitar esta combinación.</w:t>
      </w:r>
    </w:p>
    <w:p w14:paraId="59E74C91" w14:textId="77777777" w:rsidR="0044773F" w:rsidRDefault="0044773F" w:rsidP="0044773F">
      <w:pPr>
        <w:jc w:val="both"/>
      </w:pPr>
      <w:r>
        <w:t>Clorpromazina</w:t>
      </w:r>
    </w:p>
    <w:p w14:paraId="19714C9E" w14:textId="77777777" w:rsidR="0044773F" w:rsidRDefault="0044773F" w:rsidP="0044773F">
      <w:pPr>
        <w:jc w:val="both"/>
      </w:pPr>
      <w:r>
        <w:t xml:space="preserve">El uso concomitante de </w:t>
      </w:r>
      <w:proofErr w:type="spellStart"/>
      <w:r>
        <w:t>dipirona</w:t>
      </w:r>
      <w:proofErr w:type="spellEnd"/>
      <w:r>
        <w:t xml:space="preserve"> y clorpromazina puede provocar hipotermia grave.</w:t>
      </w:r>
    </w:p>
    <w:p w14:paraId="2A94F921" w14:textId="77777777" w:rsidR="0044773F" w:rsidRDefault="0044773F" w:rsidP="0044773F">
      <w:pPr>
        <w:jc w:val="both"/>
      </w:pPr>
      <w:r>
        <w:t>Ácido acetilsalicílico</w:t>
      </w:r>
    </w:p>
    <w:p w14:paraId="30263584" w14:textId="77777777" w:rsidR="0044773F" w:rsidRDefault="0044773F" w:rsidP="0044773F">
      <w:pPr>
        <w:jc w:val="both"/>
      </w:pPr>
      <w:r>
        <w:t xml:space="preserve">La </w:t>
      </w:r>
      <w:proofErr w:type="spellStart"/>
      <w:r>
        <w:t>dipirona</w:t>
      </w:r>
      <w:proofErr w:type="spellEnd"/>
      <w:r>
        <w:t xml:space="preserve"> puede reducir el efecto antiplaquetario del ácido acetilsalicílico si se administra concomitantemente. Por consiguiente, la </w:t>
      </w:r>
      <w:proofErr w:type="spellStart"/>
      <w:r>
        <w:t>dipirona</w:t>
      </w:r>
      <w:proofErr w:type="spellEnd"/>
      <w:r>
        <w:t xml:space="preserve"> se debe usar con precaución en pacientes que están tomando dosis bajas de ácido acetilsalicílico como cardioprotector.</w:t>
      </w:r>
    </w:p>
    <w:p w14:paraId="44DFCA37" w14:textId="77777777" w:rsidR="0044773F" w:rsidRDefault="0044773F" w:rsidP="0044773F">
      <w:pPr>
        <w:jc w:val="both"/>
      </w:pPr>
      <w:proofErr w:type="spellStart"/>
      <w:r>
        <w:t>Bupropión</w:t>
      </w:r>
      <w:proofErr w:type="spellEnd"/>
    </w:p>
    <w:p w14:paraId="585D81D6" w14:textId="77777777" w:rsidR="0044773F" w:rsidRDefault="0044773F" w:rsidP="0044773F">
      <w:pPr>
        <w:jc w:val="both"/>
      </w:pPr>
      <w:r>
        <w:t xml:space="preserve">La </w:t>
      </w:r>
      <w:proofErr w:type="spellStart"/>
      <w:r>
        <w:t>dipirona</w:t>
      </w:r>
      <w:proofErr w:type="spellEnd"/>
      <w:r>
        <w:t xml:space="preserve"> puede reducir los niveles sanguíneos de </w:t>
      </w:r>
      <w:proofErr w:type="spellStart"/>
      <w:r>
        <w:t>bupropión</w:t>
      </w:r>
      <w:proofErr w:type="spellEnd"/>
      <w:r>
        <w:t xml:space="preserve">. Por consiguiente, se requiere precaución si se usan concomitantemente </w:t>
      </w:r>
      <w:proofErr w:type="spellStart"/>
      <w:r>
        <w:t>dipirona</w:t>
      </w:r>
      <w:proofErr w:type="spellEnd"/>
      <w:r>
        <w:t xml:space="preserve"> y </w:t>
      </w:r>
      <w:proofErr w:type="spellStart"/>
      <w:r>
        <w:t>bupropión</w:t>
      </w:r>
      <w:proofErr w:type="spellEnd"/>
      <w:r>
        <w:t>.</w:t>
      </w:r>
    </w:p>
    <w:p w14:paraId="164AD120" w14:textId="77777777" w:rsidR="0044773F" w:rsidRDefault="0044773F" w:rsidP="0044773F">
      <w:pPr>
        <w:jc w:val="both"/>
      </w:pPr>
      <w:r>
        <w:t>Ciclosporina</w:t>
      </w:r>
    </w:p>
    <w:p w14:paraId="4F457F0F" w14:textId="77777777" w:rsidR="0044773F" w:rsidRDefault="0044773F" w:rsidP="0044773F">
      <w:pPr>
        <w:jc w:val="both"/>
      </w:pPr>
      <w:r>
        <w:t xml:space="preserve">La </w:t>
      </w:r>
      <w:proofErr w:type="spellStart"/>
      <w:r>
        <w:t>dipirona</w:t>
      </w:r>
      <w:proofErr w:type="spellEnd"/>
      <w:r>
        <w:t xml:space="preserve"> puede causar una disminución de la concentración sérica de ciclosporinas. La concentración sérica de ciclosporinas se debe controlar si se administran conjuntamente con </w:t>
      </w:r>
      <w:proofErr w:type="spellStart"/>
      <w:r>
        <w:t>dipirona</w:t>
      </w:r>
      <w:proofErr w:type="spellEnd"/>
      <w:r>
        <w:t>.</w:t>
      </w:r>
    </w:p>
    <w:p w14:paraId="38283266" w14:textId="77777777" w:rsidR="0044773F" w:rsidRDefault="0044773F" w:rsidP="0044773F">
      <w:pPr>
        <w:jc w:val="both"/>
      </w:pPr>
      <w:r>
        <w:t>Alcohol</w:t>
      </w:r>
    </w:p>
    <w:p w14:paraId="7922459F" w14:textId="77777777" w:rsidR="0044773F" w:rsidRDefault="0044773F" w:rsidP="0044773F">
      <w:pPr>
        <w:jc w:val="both"/>
      </w:pPr>
      <w:r>
        <w:t xml:space="preserve">La </w:t>
      </w:r>
      <w:proofErr w:type="spellStart"/>
      <w:r>
        <w:t>dipirona</w:t>
      </w:r>
      <w:proofErr w:type="spellEnd"/>
      <w:r>
        <w:t xml:space="preserve"> junto con alcohol puede potenciar los efectos tanto de éste, como del medicamento.</w:t>
      </w:r>
    </w:p>
    <w:p w14:paraId="32D5EB69" w14:textId="77777777" w:rsidR="0044773F" w:rsidRDefault="0044773F" w:rsidP="0044773F">
      <w:pPr>
        <w:jc w:val="both"/>
      </w:pPr>
      <w:r>
        <w:t>Interacciones adicionales con pirazolonas</w:t>
      </w:r>
    </w:p>
    <w:p w14:paraId="53B4DE5B" w14:textId="77777777" w:rsidR="0044773F" w:rsidRDefault="0044773F" w:rsidP="0044773F">
      <w:pPr>
        <w:jc w:val="both"/>
      </w:pPr>
      <w:r>
        <w:t xml:space="preserve">Las pirazolonas también pueden interaccionar con anticoagulantes orales, </w:t>
      </w:r>
      <w:proofErr w:type="spellStart"/>
      <w:r>
        <w:t>captopril</w:t>
      </w:r>
      <w:proofErr w:type="spellEnd"/>
      <w:r>
        <w:t xml:space="preserve">, litio y </w:t>
      </w:r>
      <w:proofErr w:type="spellStart"/>
      <w:r>
        <w:t>triamterene</w:t>
      </w:r>
      <w:proofErr w:type="spellEnd"/>
      <w:r>
        <w:t xml:space="preserve">. La eficacia de los antihipertensivos y diuréticos puede verse afectada por las pirazolonas. Se desconoce hasta </w:t>
      </w:r>
      <w:proofErr w:type="spellStart"/>
      <w:r>
        <w:t>que</w:t>
      </w:r>
      <w:proofErr w:type="spellEnd"/>
      <w:r>
        <w:t xml:space="preserve"> punto estas interacciones están causadas por la </w:t>
      </w:r>
      <w:proofErr w:type="spellStart"/>
      <w:r>
        <w:t>dipirona</w:t>
      </w:r>
      <w:proofErr w:type="spellEnd"/>
      <w:r>
        <w:t>.</w:t>
      </w:r>
    </w:p>
    <w:p w14:paraId="5CC32046" w14:textId="77777777" w:rsidR="0044773F" w:rsidRDefault="0044773F" w:rsidP="0044773F">
      <w:pPr>
        <w:jc w:val="both"/>
      </w:pPr>
    </w:p>
    <w:p w14:paraId="44BA07C1" w14:textId="77777777" w:rsidR="0044773F" w:rsidRDefault="0044773F" w:rsidP="0044773F">
      <w:pPr>
        <w:jc w:val="both"/>
      </w:pPr>
      <w:r>
        <w:t>SOBREDOSIFICACIÓN:</w:t>
      </w:r>
    </w:p>
    <w:p w14:paraId="2FC8474A" w14:textId="77777777" w:rsidR="0044773F" w:rsidRDefault="0044773F" w:rsidP="0044773F">
      <w:pPr>
        <w:jc w:val="both"/>
      </w:pPr>
      <w:r>
        <w:t>Síntomas</w:t>
      </w:r>
    </w:p>
    <w:p w14:paraId="3163A2FF" w14:textId="77777777" w:rsidR="0044773F" w:rsidRDefault="0044773F" w:rsidP="0044773F">
      <w:pPr>
        <w:jc w:val="both"/>
      </w:pPr>
      <w:r>
        <w:lastRenderedPageBreak/>
        <w:t>Después de una sobredosificación aguda se puede presentar náuseas, vómitos, dolor abdominal, deterioro de la función renal/insuficiencia renal aguda (p. ej. manifestada como una nefritis intersticial) y, en ocasiones más raras, síntomas del sistema nervioso central (mareo, somnolencia, coma, convulsiones) y disminución de la presión arterial o incluso shock y taquicardia.</w:t>
      </w:r>
    </w:p>
    <w:p w14:paraId="5670E48E" w14:textId="77777777" w:rsidR="0044773F" w:rsidRDefault="0044773F" w:rsidP="0044773F">
      <w:pPr>
        <w:jc w:val="both"/>
      </w:pPr>
      <w:r>
        <w:t xml:space="preserve">Después de administrar dosis muy altas, la excreción del metabolito ácido </w:t>
      </w:r>
      <w:proofErr w:type="spellStart"/>
      <w:r>
        <w:t>rubazónico</w:t>
      </w:r>
      <w:proofErr w:type="spellEnd"/>
      <w:r>
        <w:t xml:space="preserve"> puede causar coloración rojiza de la orina.</w:t>
      </w:r>
    </w:p>
    <w:p w14:paraId="43FD0635" w14:textId="77777777" w:rsidR="0044773F" w:rsidRDefault="0044773F" w:rsidP="0044773F">
      <w:pPr>
        <w:jc w:val="both"/>
      </w:pPr>
      <w:r>
        <w:t>Tratamiento</w:t>
      </w:r>
    </w:p>
    <w:p w14:paraId="5CE40B4D" w14:textId="77777777" w:rsidR="0044773F" w:rsidRDefault="0044773F" w:rsidP="0044773F">
      <w:pPr>
        <w:jc w:val="both"/>
      </w:pPr>
      <w:r>
        <w:t xml:space="preserve">No se conoce ningún antídoto específico para la </w:t>
      </w:r>
      <w:proofErr w:type="spellStart"/>
      <w:r>
        <w:t>dipirona</w:t>
      </w:r>
      <w:proofErr w:type="spellEnd"/>
      <w:r>
        <w:t xml:space="preserve">. Si se ha administrado </w:t>
      </w:r>
      <w:proofErr w:type="spellStart"/>
      <w:r>
        <w:t>dipirona</w:t>
      </w:r>
      <w:proofErr w:type="spellEnd"/>
      <w:r>
        <w:t xml:space="preserve"> recientemente, se pueden adoptar medidas destinadas a reducir la absorción (p. ej., carbón activado) a fin de limitar la absorción sistémica. El metabolito principal (4-metilaminoantipirina) puede eliminarse mediante hemodiálisis, hemofiltración, </w:t>
      </w:r>
      <w:proofErr w:type="spellStart"/>
      <w:r>
        <w:t>hemoperfusión</w:t>
      </w:r>
      <w:proofErr w:type="spellEnd"/>
      <w:r>
        <w:t xml:space="preserve"> o filtración del plasma.</w:t>
      </w:r>
    </w:p>
    <w:p w14:paraId="33925FF7" w14:textId="77777777" w:rsidR="0044773F" w:rsidRDefault="0044773F" w:rsidP="0044773F">
      <w:pPr>
        <w:jc w:val="both"/>
      </w:pPr>
      <w:r>
        <w:t>El tratamiento de la intoxicación y la prevención de complicaciones graves, pueden requerir seguimiento y tratamiento médico intensivo general y especial.</w:t>
      </w:r>
    </w:p>
    <w:p w14:paraId="11785C27" w14:textId="77777777" w:rsidR="0044773F" w:rsidRDefault="0044773F" w:rsidP="0044773F">
      <w:pPr>
        <w:jc w:val="both"/>
      </w:pPr>
      <w:r>
        <w:t>Medidas de urgencia para casos de intolerancia grave a medicamentos (shock)</w:t>
      </w:r>
    </w:p>
    <w:p w14:paraId="5173FA57" w14:textId="77777777" w:rsidR="0044773F" w:rsidRDefault="0044773F" w:rsidP="0044773F">
      <w:pPr>
        <w:jc w:val="both"/>
      </w:pPr>
      <w:r>
        <w:t>Cuando se produzcan los primeros síntomas (p. ej. reacciones cutáneas como urticaria y eritema, inquietud, cefaleas, sudoración profusa, náuseas) la administración debe interrumpirse inmediatamente. Además de las medidas de urgencia habituales como poner el paciente de costado, mantener las vías respiratorias libres de obstrucción o la administración de oxígeno, puede ser necesaria la administración de simpaticomiméticos, expansores del plasma o glucocorticoides</w:t>
      </w:r>
    </w:p>
    <w:p w14:paraId="6957C1F5" w14:textId="77777777" w:rsidR="0044773F" w:rsidRDefault="0044773F" w:rsidP="0044773F">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6B8B27D" w14:textId="77777777" w:rsidR="0044773F" w:rsidRDefault="0044773F" w:rsidP="0044773F">
      <w:pPr>
        <w:jc w:val="both"/>
      </w:pPr>
    </w:p>
    <w:p w14:paraId="56A4411F" w14:textId="77777777" w:rsidR="0044773F" w:rsidRDefault="0044773F" w:rsidP="0044773F">
      <w:pPr>
        <w:jc w:val="both"/>
      </w:pPr>
      <w:r>
        <w:t>RESTRICCIONES DE USO:</w:t>
      </w:r>
    </w:p>
    <w:p w14:paraId="766328B0" w14:textId="77777777" w:rsidR="0044773F" w:rsidRDefault="0044773F" w:rsidP="0044773F">
      <w:pPr>
        <w:jc w:val="both"/>
      </w:pPr>
      <w:r>
        <w:t xml:space="preserve">Trastornos de la fertilidad: No se han realizado ensayos clínicos con </w:t>
      </w:r>
      <w:proofErr w:type="spellStart"/>
      <w:r>
        <w:t>dipirona</w:t>
      </w:r>
      <w:proofErr w:type="spellEnd"/>
      <w:r>
        <w:t xml:space="preserve"> sobre el efecto en la fertilidad humana. </w:t>
      </w:r>
    </w:p>
    <w:p w14:paraId="551CCD64" w14:textId="77777777" w:rsidR="0044773F" w:rsidRDefault="0044773F" w:rsidP="0044773F">
      <w:pPr>
        <w:jc w:val="both"/>
      </w:pPr>
      <w:r>
        <w:t xml:space="preserve">Embarazo: Los datos disponibles relativos al uso de </w:t>
      </w:r>
      <w:proofErr w:type="spellStart"/>
      <w:r>
        <w:t>dipirona</w:t>
      </w:r>
      <w:proofErr w:type="spellEnd"/>
      <w:r>
        <w:t xml:space="preserve"> en mujeres embarazadas son limitados. No se recomienda el uso de </w:t>
      </w:r>
      <w:proofErr w:type="spellStart"/>
      <w:r>
        <w:t>dipirona</w:t>
      </w:r>
      <w:proofErr w:type="spellEnd"/>
      <w:r>
        <w:t xml:space="preserve"> durante el primer y segundo trimestre. Durante el tercer trimestre está asociado a </w:t>
      </w:r>
      <w:proofErr w:type="spellStart"/>
      <w:r>
        <w:t>fetotoxicidad</w:t>
      </w:r>
      <w:proofErr w:type="spellEnd"/>
      <w:r>
        <w:t xml:space="preserve"> y, por lo tanto, su uso está contraindicado durante el tercer trimestre de embarazo</w:t>
      </w:r>
    </w:p>
    <w:p w14:paraId="4D004D12" w14:textId="77777777" w:rsidR="0044773F" w:rsidRDefault="0044773F" w:rsidP="0044773F">
      <w:pPr>
        <w:jc w:val="both"/>
      </w:pPr>
      <w:r>
        <w:t xml:space="preserve">Pasaje de la droga a leche materna: Los productos de degradación de </w:t>
      </w:r>
      <w:proofErr w:type="spellStart"/>
      <w:r>
        <w:t>dipirona</w:t>
      </w:r>
      <w:proofErr w:type="spellEnd"/>
      <w:r>
        <w:t xml:space="preserve"> se excretan en la leche materna en cantidades considerables y no se puede excluir que exista riesgo para el lactante. Por lo tanto, se debe evitar el uso repetido de </w:t>
      </w:r>
      <w:proofErr w:type="spellStart"/>
      <w:r>
        <w:t>dipirona</w:t>
      </w:r>
      <w:proofErr w:type="spellEnd"/>
      <w:r>
        <w:t xml:space="preserve"> durante la lactancia. En caso de una única administración de </w:t>
      </w:r>
      <w:proofErr w:type="spellStart"/>
      <w:r>
        <w:t>dipirona</w:t>
      </w:r>
      <w:proofErr w:type="spellEnd"/>
      <w:r>
        <w:t>, se aconseja recoger y desechar la leche materna durante 48 horas desde su administración.</w:t>
      </w:r>
    </w:p>
    <w:p w14:paraId="1F9979EB" w14:textId="77777777" w:rsidR="0044773F" w:rsidRDefault="0044773F" w:rsidP="0044773F">
      <w:pPr>
        <w:jc w:val="both"/>
      </w:pPr>
      <w:r>
        <w:t xml:space="preserve">Efectos sobre la capacidad para conducir y utilizar máquinas: No existen estudios sobre el efecto en la capacidad de conducir y utilizar máquinas. A la dosis recomendada, no son de esperar efectos adversos sobre la capacidad de concentración y de reacción. Sin embargo, por precaución los pacientes deben saber que por lo menos en el caso de administración de dosis más altas, debe tenerse en cuenta que estas capacidades pueden verse afectadas y se debe </w:t>
      </w:r>
      <w:r>
        <w:lastRenderedPageBreak/>
        <w:t>evitar utilizar máquinas, conducir vehículos u otras actividades peligrosas. Esto es especialmente aplicable en combinación con alcohol.</w:t>
      </w:r>
    </w:p>
    <w:p w14:paraId="5DE6DFB2" w14:textId="77777777" w:rsidR="0044773F" w:rsidRDefault="0044773F" w:rsidP="0044773F">
      <w:pPr>
        <w:jc w:val="both"/>
      </w:pPr>
      <w:r>
        <w:t xml:space="preserve">CONSERVACIÓN: </w:t>
      </w:r>
    </w:p>
    <w:p w14:paraId="7D2099C2" w14:textId="77777777" w:rsidR="0044773F" w:rsidRDefault="0044773F" w:rsidP="0044773F">
      <w:pPr>
        <w:jc w:val="both"/>
      </w:pPr>
      <w:r>
        <w:t>Almacenar a temperatura entre 15° y 30 °C.</w:t>
      </w:r>
    </w:p>
    <w:p w14:paraId="66B7AF78" w14:textId="77777777" w:rsidR="0044773F" w:rsidRDefault="0044773F" w:rsidP="0044773F">
      <w:pPr>
        <w:jc w:val="both"/>
      </w:pPr>
    </w:p>
    <w:p w14:paraId="2FD38282" w14:textId="77777777" w:rsidR="0044773F" w:rsidRDefault="0044773F" w:rsidP="0044773F">
      <w:pPr>
        <w:jc w:val="both"/>
      </w:pPr>
      <w:r>
        <w:t>PRESENTACIÓN</w:t>
      </w:r>
    </w:p>
    <w:p w14:paraId="60428EFD" w14:textId="77777777" w:rsidR="0044773F" w:rsidRDefault="0044773F" w:rsidP="0044773F">
      <w:pPr>
        <w:jc w:val="both"/>
      </w:pPr>
      <w:proofErr w:type="spellStart"/>
      <w:r>
        <w:t>Dipidol</w:t>
      </w:r>
      <w:proofErr w:type="spellEnd"/>
      <w:r>
        <w:t xml:space="preserve">® </w:t>
      </w:r>
    </w:p>
    <w:p w14:paraId="747470F9" w14:textId="77777777" w:rsidR="0044773F" w:rsidRDefault="0044773F" w:rsidP="0044773F">
      <w:pPr>
        <w:jc w:val="both"/>
      </w:pPr>
      <w:r>
        <w:t xml:space="preserve">Caja conteniendo un frasco por 10 </w:t>
      </w:r>
      <w:proofErr w:type="spellStart"/>
      <w:r>
        <w:t>mL</w:t>
      </w:r>
      <w:proofErr w:type="spellEnd"/>
      <w:r>
        <w:t xml:space="preserve">.         </w:t>
      </w:r>
    </w:p>
    <w:p w14:paraId="321F0455" w14:textId="77777777" w:rsidR="0044773F" w:rsidRDefault="0044773F" w:rsidP="0044773F">
      <w:pPr>
        <w:jc w:val="both"/>
      </w:pPr>
      <w:proofErr w:type="spellStart"/>
      <w:r>
        <w:t>Dipidol</w:t>
      </w:r>
      <w:proofErr w:type="spellEnd"/>
      <w:r>
        <w:t>® 250</w:t>
      </w:r>
    </w:p>
    <w:p w14:paraId="6AF5FEBA" w14:textId="77777777" w:rsidR="0044773F" w:rsidRDefault="0044773F" w:rsidP="0044773F">
      <w:pPr>
        <w:jc w:val="both"/>
      </w:pPr>
      <w:r>
        <w:t xml:space="preserve">Caja conteniendo frasco por 100 </w:t>
      </w:r>
      <w:proofErr w:type="spellStart"/>
      <w:r>
        <w:t>mL</w:t>
      </w:r>
      <w:proofErr w:type="spellEnd"/>
      <w:r>
        <w:t>.</w:t>
      </w:r>
    </w:p>
    <w:p w14:paraId="7A3A1B34" w14:textId="77777777" w:rsidR="0044773F" w:rsidRDefault="0044773F" w:rsidP="0044773F">
      <w:pPr>
        <w:jc w:val="both"/>
      </w:pPr>
      <w:proofErr w:type="spellStart"/>
      <w:r>
        <w:t>Dipidol</w:t>
      </w:r>
      <w:proofErr w:type="spellEnd"/>
      <w:r>
        <w:t>® 500</w:t>
      </w:r>
    </w:p>
    <w:p w14:paraId="2232A0FD" w14:textId="77777777" w:rsidR="0044773F" w:rsidRDefault="0044773F" w:rsidP="0044773F">
      <w:pPr>
        <w:jc w:val="both"/>
      </w:pPr>
      <w:r>
        <w:t>Caja conteniendo 10 comprimidos.</w:t>
      </w:r>
    </w:p>
    <w:p w14:paraId="0B56D092" w14:textId="77777777" w:rsidR="0044773F" w:rsidRDefault="0044773F" w:rsidP="0044773F">
      <w:pPr>
        <w:jc w:val="both"/>
      </w:pPr>
      <w:r>
        <w:t>Caja conteniendo 20 comprimidos.</w:t>
      </w:r>
    </w:p>
    <w:p w14:paraId="1C8C2F88" w14:textId="77777777" w:rsidR="0044773F" w:rsidRDefault="0044773F" w:rsidP="0044773F">
      <w:pPr>
        <w:jc w:val="both"/>
      </w:pPr>
      <w:proofErr w:type="gramStart"/>
      <w:r>
        <w:t>Caja exhibidor</w:t>
      </w:r>
      <w:proofErr w:type="gramEnd"/>
      <w:r>
        <w:t xml:space="preserve"> conteniendo 10 </w:t>
      </w:r>
      <w:proofErr w:type="spellStart"/>
      <w:r>
        <w:t>blisters</w:t>
      </w:r>
      <w:proofErr w:type="spellEnd"/>
      <w:r>
        <w:t xml:space="preserve"> con 10 comprimidos c/u.</w:t>
      </w:r>
    </w:p>
    <w:p w14:paraId="49083A9D" w14:textId="77777777" w:rsidR="0044773F" w:rsidRDefault="0044773F" w:rsidP="0044773F">
      <w:pPr>
        <w:jc w:val="both"/>
      </w:pPr>
    </w:p>
    <w:p w14:paraId="5BBD7A71" w14:textId="77777777" w:rsidR="0044773F" w:rsidRDefault="0044773F" w:rsidP="0044773F">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0F0F1FFD" w14:textId="77777777" w:rsidR="0044773F" w:rsidRDefault="0044773F" w:rsidP="0044773F">
      <w:pPr>
        <w:jc w:val="both"/>
      </w:pPr>
      <w:r>
        <w:t>Si Ud. es deportista y está sometido a control de doping, no consuma estos productos sin consultar a su médico.</w:t>
      </w:r>
    </w:p>
    <w:p w14:paraId="524AE5B4" w14:textId="77777777" w:rsidR="0044773F" w:rsidRDefault="0044773F" w:rsidP="0044773F">
      <w:pPr>
        <w:jc w:val="both"/>
      </w:pPr>
    </w:p>
    <w:p w14:paraId="1E5B1E75" w14:textId="77777777" w:rsidR="0044773F" w:rsidRDefault="0044773F" w:rsidP="0044773F">
      <w:pPr>
        <w:jc w:val="both"/>
      </w:pPr>
      <w:r>
        <w:t>D.T.: Q.F. Laura Ramírez</w:t>
      </w:r>
    </w:p>
    <w:p w14:paraId="28AC2FD8" w14:textId="77777777" w:rsidR="0044773F" w:rsidRDefault="0044773F" w:rsidP="0044773F">
      <w:pPr>
        <w:jc w:val="both"/>
      </w:pPr>
      <w:r>
        <w:t xml:space="preserve">Reg. Prof. </w:t>
      </w:r>
      <w:proofErr w:type="spellStart"/>
      <w:r>
        <w:t>N°</w:t>
      </w:r>
      <w:proofErr w:type="spellEnd"/>
      <w:r>
        <w:t xml:space="preserve"> 4.142</w:t>
      </w:r>
    </w:p>
    <w:p w14:paraId="70B433ED" w14:textId="77777777" w:rsidR="0044773F" w:rsidRDefault="0044773F" w:rsidP="0044773F">
      <w:pPr>
        <w:jc w:val="both"/>
      </w:pPr>
      <w:r>
        <w:t>Autorizado por D.N.V.S. del M.S.P. y B.S</w:t>
      </w:r>
    </w:p>
    <w:p w14:paraId="4C390FB8" w14:textId="77777777" w:rsidR="0044773F" w:rsidRDefault="0044773F" w:rsidP="0044773F">
      <w:pPr>
        <w:jc w:val="both"/>
      </w:pPr>
    </w:p>
    <w:p w14:paraId="441CF32A" w14:textId="77777777" w:rsidR="0044773F" w:rsidRDefault="0044773F" w:rsidP="0044773F">
      <w:pPr>
        <w:jc w:val="both"/>
      </w:pPr>
    </w:p>
    <w:p w14:paraId="550ECB62" w14:textId="202981B1" w:rsidR="0044773F" w:rsidRPr="0044773F" w:rsidRDefault="0044773F" w:rsidP="0044773F">
      <w:pPr>
        <w:jc w:val="both"/>
      </w:pPr>
      <w:r>
        <w:t xml:space="preserve">MANTENER FUERA DEL ALCANCE DE LOS NIÑOS </w:t>
      </w:r>
    </w:p>
    <w:sectPr w:rsidR="0044773F" w:rsidRPr="00447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610D9"/>
    <w:rsid w:val="002B4988"/>
    <w:rsid w:val="003809D2"/>
    <w:rsid w:val="003B26EA"/>
    <w:rsid w:val="003E1B90"/>
    <w:rsid w:val="00432A45"/>
    <w:rsid w:val="00442EFF"/>
    <w:rsid w:val="0044773F"/>
    <w:rsid w:val="004523E0"/>
    <w:rsid w:val="0059601C"/>
    <w:rsid w:val="006A3A06"/>
    <w:rsid w:val="006C5743"/>
    <w:rsid w:val="007A173C"/>
    <w:rsid w:val="008F613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4014</Words>
  <Characters>22081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2022-03-15T15:44:00Z</dcterms:created>
  <dcterms:modified xsi:type="dcterms:W3CDTF">2022-03-15T15:44:00Z</dcterms:modified>
</cp:coreProperties>
</file>