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5B" w:rsidRDefault="00F5385B" w:rsidP="00F5385B">
      <w:pPr>
        <w:pStyle w:val="NormalWeb"/>
      </w:pPr>
      <w:r>
        <w:t>BERAFEN RELAX®</w:t>
      </w:r>
    </w:p>
    <w:p w:rsidR="00F5385B" w:rsidRDefault="00F5385B" w:rsidP="00F5385B">
      <w:pPr>
        <w:pStyle w:val="NormalWeb"/>
      </w:pPr>
      <w:r>
        <w:t xml:space="preserve">DICLOFENAC – </w:t>
      </w:r>
      <w:proofErr w:type="spellStart"/>
      <w:r>
        <w:t>Ciclobenzaprina</w:t>
      </w:r>
      <w:proofErr w:type="spellEnd"/>
      <w:r>
        <w:t xml:space="preserve"> - PARACETAMOL</w:t>
      </w:r>
    </w:p>
    <w:p w:rsidR="00F5385B" w:rsidRDefault="00F5385B" w:rsidP="00F5385B">
      <w:pPr>
        <w:pStyle w:val="NormalWeb"/>
      </w:pPr>
      <w:r>
        <w:t>FORMULA:</w:t>
      </w:r>
      <w:bookmarkStart w:id="0" w:name="_GoBack"/>
      <w:bookmarkEnd w:id="0"/>
    </w:p>
    <w:p w:rsidR="00F5385B" w:rsidRDefault="00F5385B" w:rsidP="00F5385B">
      <w:pPr>
        <w:pStyle w:val="NormalWeb"/>
      </w:pPr>
      <w:r>
        <w:t>Cada comprimido recubierto contiene:</w:t>
      </w:r>
    </w:p>
    <w:p w:rsidR="00F5385B" w:rsidRDefault="00F5385B" w:rsidP="00F5385B">
      <w:pPr>
        <w:pStyle w:val="NormalWeb"/>
      </w:pPr>
      <w:proofErr w:type="spellStart"/>
      <w:r>
        <w:t>Diclofenac</w:t>
      </w:r>
      <w:proofErr w:type="spellEnd"/>
      <w:r>
        <w:t xml:space="preserve"> Potásico50 mg.</w:t>
      </w:r>
    </w:p>
    <w:p w:rsidR="00F5385B" w:rsidRDefault="00F5385B" w:rsidP="00F5385B">
      <w:pPr>
        <w:pStyle w:val="NormalWeb"/>
      </w:pPr>
      <w:r>
        <w:t>Ciclobenzaprina10 mg.</w:t>
      </w:r>
    </w:p>
    <w:p w:rsidR="00F5385B" w:rsidRDefault="00F5385B" w:rsidP="00F5385B">
      <w:pPr>
        <w:pStyle w:val="NormalWeb"/>
      </w:pPr>
      <w:r>
        <w:t>Paracetamol400 mg.</w:t>
      </w:r>
    </w:p>
    <w:p w:rsidR="00F5385B" w:rsidRDefault="00F5385B" w:rsidP="00F5385B">
      <w:pPr>
        <w:pStyle w:val="NormalWeb"/>
      </w:pPr>
      <w:proofErr w:type="spellStart"/>
      <w:r>
        <w:t>Excipientesc.s.p</w:t>
      </w:r>
      <w:proofErr w:type="spellEnd"/>
      <w:r>
        <w:t>.</w:t>
      </w:r>
    </w:p>
    <w:p w:rsidR="00F5385B" w:rsidRDefault="00F5385B" w:rsidP="00F5385B">
      <w:pPr>
        <w:pStyle w:val="NormalWeb"/>
      </w:pPr>
      <w:r>
        <w:t>ACCION TERAPEUTICA:</w:t>
      </w:r>
    </w:p>
    <w:p w:rsidR="00F5385B" w:rsidRDefault="00F5385B" w:rsidP="00F5385B">
      <w:pPr>
        <w:pStyle w:val="NormalWeb"/>
      </w:pPr>
      <w:r>
        <w:t>Antiinflamatorio. Relajante Muscular. Analgésico. Antipirético.</w:t>
      </w:r>
    </w:p>
    <w:p w:rsidR="00F5385B" w:rsidRDefault="00F5385B" w:rsidP="00F5385B">
      <w:pPr>
        <w:pStyle w:val="NormalWeb"/>
      </w:pPr>
      <w:r>
        <w:t>MECANISMO DE ACCION Y DATOS FARMACOCINETICOS:</w:t>
      </w:r>
    </w:p>
    <w:p w:rsidR="00F5385B" w:rsidRDefault="00F5385B" w:rsidP="00F5385B">
      <w:pPr>
        <w:pStyle w:val="NormalWeb"/>
      </w:pPr>
      <w:proofErr w:type="spellStart"/>
      <w:r>
        <w:t>Diclofenac</w:t>
      </w:r>
      <w:proofErr w:type="spellEnd"/>
      <w:r>
        <w:t>: Su mecanismo de acción se debe a la inhibición de las prostaglandinas, lo cual produce la reducción de los inductores de la inflamación y el dolor. Se administra en forma oral, parenteral y percutánea, a través de la epidermis. Cuando se administra en forma oral, se absorbe casi completamente, pero su biodisponibilidad es del 50 al 60% por el intenso efecto del primer paso; los alimentos retardan su absorción. Tiene un pico plasmático entre las 2 a 4 horas, tiene una amplia distribución en el organismo, con metabolización extensa a nivel hepático y eliminación renal en un 50 a 70%, el resto tiene eliminación vía intestinal.</w:t>
      </w:r>
    </w:p>
    <w:p w:rsidR="00F5385B" w:rsidRDefault="00F5385B" w:rsidP="00F5385B">
      <w:pPr>
        <w:pStyle w:val="NormalWeb"/>
      </w:pPr>
      <w:proofErr w:type="spellStart"/>
      <w:r>
        <w:t>Ciclobenzaprina</w:t>
      </w:r>
      <w:proofErr w:type="spellEnd"/>
      <w:r>
        <w:t xml:space="preserve">: Se absorbe bien tras la administración oral. La unión a las proteínas plasmáticas es muy elevada. El metabolismo de la </w:t>
      </w:r>
      <w:proofErr w:type="spellStart"/>
      <w:r>
        <w:t>Ciclobenzaprina</w:t>
      </w:r>
      <w:proofErr w:type="spellEnd"/>
      <w:r>
        <w:t xml:space="preserve"> tiene lugar a nivel gastrointestinal y hepático, con una vida media de 1 a 3 días. La acción del fármaco empieza después de una hora de su administración y el tiempo máximo para alcanzar la concentración máxima es de 3 a 6 horas. La concentración plasmática máxima es de 15 a 20 </w:t>
      </w:r>
      <w:proofErr w:type="spellStart"/>
      <w:r>
        <w:t>nanogramos</w:t>
      </w:r>
      <w:proofErr w:type="spellEnd"/>
      <w:r>
        <w:t xml:space="preserve"> por </w:t>
      </w:r>
      <w:proofErr w:type="spellStart"/>
      <w:r>
        <w:t>mL</w:t>
      </w:r>
      <w:proofErr w:type="spellEnd"/>
      <w:r>
        <w:t xml:space="preserve"> tras una dosis única oral de 10 mg, sujeta, no obstante, a grandes variaciones entre pacientes. La eliminación es metabólica, seguida de excreción renal de los metabolitos conjugados. Cierta cantidad de </w:t>
      </w:r>
      <w:proofErr w:type="spellStart"/>
      <w:r>
        <w:t>Ciclobenzaprina</w:t>
      </w:r>
      <w:proofErr w:type="spellEnd"/>
      <w:r>
        <w:t xml:space="preserve"> inalterada se elimina también por vía biliar y fecal.</w:t>
      </w:r>
    </w:p>
    <w:p w:rsidR="00F5385B" w:rsidRDefault="00F5385B" w:rsidP="00F5385B">
      <w:pPr>
        <w:pStyle w:val="NormalWeb"/>
      </w:pPr>
      <w:r>
        <w:t xml:space="preserve">Paracetamol: Tendría una mayor afinidad por las enzimas centrales en comparación con las periféricas. El Paracetamol se absorbe con rapidez y casi por completo en tracto gastrointestinal. La concentración </w:t>
      </w:r>
      <w:proofErr w:type="spellStart"/>
      <w:r>
        <w:t>plásmatica</w:t>
      </w:r>
      <w:proofErr w:type="spellEnd"/>
      <w:r>
        <w:t xml:space="preserve"> alcanza un máximo en 30 a 60 minutos y la vida media es de </w:t>
      </w:r>
      <w:proofErr w:type="spellStart"/>
      <w:r>
        <w:t>aIrededor</w:t>
      </w:r>
      <w:proofErr w:type="spellEnd"/>
      <w:r>
        <w:t xml:space="preserve"> de dos horas después de dosis terapéuticas. La unión a proteínas plasmáticas es variable. La eliminación se produce por </w:t>
      </w:r>
      <w:proofErr w:type="spellStart"/>
      <w:r>
        <w:t>biotransformación</w:t>
      </w:r>
      <w:proofErr w:type="spellEnd"/>
      <w:r>
        <w:t xml:space="preserve"> hepática a través de la conjugación con ácido </w:t>
      </w:r>
      <w:proofErr w:type="spellStart"/>
      <w:r>
        <w:t>glucurónico</w:t>
      </w:r>
      <w:proofErr w:type="spellEnd"/>
      <w:r>
        <w:t xml:space="preserve"> (60%), con ácido sulfúrico (35%) o cisteína (3%). Los niños tienen menor capacidad que los adultos para </w:t>
      </w:r>
      <w:proofErr w:type="spellStart"/>
      <w:r>
        <w:t>glucuronizar</w:t>
      </w:r>
      <w:proofErr w:type="spellEnd"/>
      <w:r>
        <w:t xml:space="preserve"> la droga. Una pequeña proporción de Paracetamol sufre N-</w:t>
      </w:r>
      <w:proofErr w:type="spellStart"/>
      <w:r>
        <w:t>hidroxilación</w:t>
      </w:r>
      <w:proofErr w:type="spellEnd"/>
      <w:r>
        <w:t xml:space="preserve"> por el citocromo P-450 para formar un intermediario de alta reactividad, que en forma normal reacciona con grupos </w:t>
      </w:r>
      <w:proofErr w:type="spellStart"/>
      <w:r>
        <w:t>sulfhidrilos</w:t>
      </w:r>
      <w:proofErr w:type="spellEnd"/>
      <w:r>
        <w:t xml:space="preserve"> del glutatión.</w:t>
      </w:r>
    </w:p>
    <w:p w:rsidR="00F5385B" w:rsidRDefault="00F5385B" w:rsidP="00F5385B">
      <w:pPr>
        <w:pStyle w:val="NormalWeb"/>
      </w:pPr>
      <w:r>
        <w:t>INDICACIONES TERAPEUTICAS:</w:t>
      </w:r>
    </w:p>
    <w:p w:rsidR="00F5385B" w:rsidRDefault="00F5385B" w:rsidP="00F5385B">
      <w:pPr>
        <w:pStyle w:val="NormalWeb"/>
      </w:pPr>
      <w:r>
        <w:t xml:space="preserve">Tratamiento sintomático de cuadros reumáticos agudos o crónicos, acompañados de espasmos musculares asociados o no a </w:t>
      </w:r>
      <w:proofErr w:type="spellStart"/>
      <w:r>
        <w:t>radiculopatías</w:t>
      </w:r>
      <w:proofErr w:type="spellEnd"/>
      <w:r>
        <w:t xml:space="preserve"> cervicales o lumbosacras, osteoartritis degenerativa y otros cuadros del aparato locomotor acompañados de contracción muscular. </w:t>
      </w:r>
      <w:proofErr w:type="spellStart"/>
      <w:r>
        <w:t>Fibriomialgia</w:t>
      </w:r>
      <w:proofErr w:type="spellEnd"/>
      <w:r>
        <w:t>.</w:t>
      </w:r>
    </w:p>
    <w:p w:rsidR="00F5385B" w:rsidRDefault="00F5385B" w:rsidP="00F5385B">
      <w:pPr>
        <w:pStyle w:val="NormalWeb"/>
      </w:pPr>
      <w:r>
        <w:t xml:space="preserve">Está indicado en todos aquellos procesos inflamatorios articulares y </w:t>
      </w:r>
      <w:proofErr w:type="spellStart"/>
      <w:r>
        <w:t>extraarticulares</w:t>
      </w:r>
      <w:proofErr w:type="spellEnd"/>
      <w:r>
        <w:t xml:space="preserve"> que se acompañan con contractura muscular, tales como: Lesiones traumáticas, dolores reumatológicos, musculo-esqueléticos, </w:t>
      </w:r>
      <w:proofErr w:type="spellStart"/>
      <w:r>
        <w:t>cervicobraquialgias</w:t>
      </w:r>
      <w:proofErr w:type="spellEnd"/>
      <w:r>
        <w:t xml:space="preserve">, torticolis, lumbalgias, </w:t>
      </w:r>
      <w:proofErr w:type="spellStart"/>
      <w:r>
        <w:t>fibrositis</w:t>
      </w:r>
      <w:proofErr w:type="spellEnd"/>
      <w:r>
        <w:t xml:space="preserve"> y </w:t>
      </w:r>
      <w:proofErr w:type="spellStart"/>
      <w:r>
        <w:t>lumbociatalgias</w:t>
      </w:r>
      <w:proofErr w:type="spellEnd"/>
      <w:r>
        <w:t>.</w:t>
      </w:r>
    </w:p>
    <w:p w:rsidR="00F5385B" w:rsidRDefault="00F5385B" w:rsidP="00F5385B">
      <w:pPr>
        <w:pStyle w:val="NormalWeb"/>
      </w:pPr>
      <w:r>
        <w:t>POSOLOGIA:</w:t>
      </w:r>
    </w:p>
    <w:p w:rsidR="00F5385B" w:rsidRDefault="00F5385B" w:rsidP="00F5385B">
      <w:pPr>
        <w:pStyle w:val="NormalWeb"/>
      </w:pPr>
      <w:r>
        <w:t>Adultos: 1 comprimido 2 a 3 veces por día o según mejor criterio médico.</w:t>
      </w:r>
    </w:p>
    <w:p w:rsidR="00F5385B" w:rsidRDefault="00F5385B" w:rsidP="00F5385B">
      <w:pPr>
        <w:pStyle w:val="NormalWeb"/>
      </w:pPr>
      <w:r>
        <w:t>CONTRAINDICACIONES:</w:t>
      </w:r>
    </w:p>
    <w:p w:rsidR="00F5385B" w:rsidRDefault="00F5385B" w:rsidP="00F5385B">
      <w:pPr>
        <w:pStyle w:val="NormalWeb"/>
      </w:pPr>
      <w:r>
        <w:t xml:space="preserve">Pacientes con hipersensibilidad conocida al </w:t>
      </w:r>
      <w:proofErr w:type="spellStart"/>
      <w:r>
        <w:t>Diclofenac</w:t>
      </w:r>
      <w:proofErr w:type="spellEnd"/>
      <w:r>
        <w:t xml:space="preserve">, a la </w:t>
      </w:r>
      <w:proofErr w:type="spellStart"/>
      <w:r>
        <w:t>Ciclobenzaprina</w:t>
      </w:r>
      <w:proofErr w:type="spellEnd"/>
      <w:r>
        <w:t xml:space="preserve"> o/a cualquiera de los excipientes. También </w:t>
      </w:r>
      <w:proofErr w:type="spellStart"/>
      <w:r>
        <w:t>esta</w:t>
      </w:r>
      <w:proofErr w:type="spellEnd"/>
      <w:r>
        <w:t xml:space="preserve"> contraindicado en pacientes alérgicos a los </w:t>
      </w:r>
      <w:proofErr w:type="spellStart"/>
      <w:r>
        <w:t>AINEs</w:t>
      </w:r>
      <w:proofErr w:type="spellEnd"/>
      <w:r>
        <w:t xml:space="preserve"> que hayan desarrollado </w:t>
      </w:r>
      <w:proofErr w:type="spellStart"/>
      <w:r>
        <w:t>broncospasmo</w:t>
      </w:r>
      <w:proofErr w:type="spellEnd"/>
      <w:r>
        <w:t>, urticaria o rinitis aguda con el uso de los mismos; úlcera gastrointestinal, disfunción renal y/o hepática, desórdenes de la coagulación o pacientes bajo tratamiento con anticoagulantes, alteraciones de la conducción cardíaca, insuficiencia cardíaca congestiva, infarto de miocardio reciente. Hipertiroidismo.</w:t>
      </w:r>
    </w:p>
    <w:p w:rsidR="00F5385B" w:rsidRDefault="00F5385B" w:rsidP="00F5385B">
      <w:pPr>
        <w:pStyle w:val="NormalWeb"/>
      </w:pPr>
      <w:r>
        <w:t>PRECAUCIONES Y ADVERTENCIAS:</w:t>
      </w:r>
    </w:p>
    <w:p w:rsidR="00F5385B" w:rsidRDefault="00F5385B" w:rsidP="00F5385B">
      <w:pPr>
        <w:pStyle w:val="NormalWeb"/>
      </w:pPr>
      <w:r>
        <w:t xml:space="preserve">En pacientes con trastornos gastrointestinales. Insuficiencia hepática y/o renal grave. Glaucoma. Hiperplasia prostática. Pacientes tratados con anticolinérgicos. Se debe evitar el uso en pacientes que deben manejar maquinarias o vehículos. Se debe administrar con precaución en pacientes con antecedentes de </w:t>
      </w:r>
      <w:proofErr w:type="spellStart"/>
      <w:r>
        <w:t>porfiria</w:t>
      </w:r>
      <w:proofErr w:type="spellEnd"/>
      <w:r>
        <w:t xml:space="preserve"> o con insuficiencia hepática o renal. Usar con precaución en personas que desempeñan actividades que requieran estado de alerta. No es de esperar que el </w:t>
      </w:r>
      <w:proofErr w:type="spellStart"/>
      <w:r>
        <w:t>Diclofenac</w:t>
      </w:r>
      <w:proofErr w:type="spellEnd"/>
      <w:r>
        <w:t xml:space="preserve"> altere el sistema hematopoyético. No obstante, es conveniente controlar periódicamente el cuadro hemático en caso de tratamientos prolongados.</w:t>
      </w:r>
    </w:p>
    <w:p w:rsidR="00F5385B" w:rsidRDefault="00F5385B" w:rsidP="00F5385B">
      <w:pPr>
        <w:pStyle w:val="NormalWeb"/>
      </w:pPr>
      <w:r>
        <w:t>REACCIONES ADVERSAS Y EFECTOS COLATERALES:</w:t>
      </w:r>
    </w:p>
    <w:p w:rsidR="00F5385B" w:rsidRDefault="00F5385B" w:rsidP="00F5385B">
      <w:pPr>
        <w:pStyle w:val="NormalWeb"/>
      </w:pPr>
      <w:r>
        <w:t xml:space="preserve">Pueden presentarse raramente </w:t>
      </w:r>
      <w:proofErr w:type="spellStart"/>
      <w:r>
        <w:t>epigastralgias</w:t>
      </w:r>
      <w:proofErr w:type="spellEnd"/>
      <w:r>
        <w:t>, náuseas, diarreas, cefaleas, vértigo, somnolencia. Estos efectos colaterales suelen ser leves y remiten al cabo de algunos días, si se continúa con la medicación.</w:t>
      </w:r>
    </w:p>
    <w:p w:rsidR="00F5385B" w:rsidRDefault="00F5385B" w:rsidP="00F5385B">
      <w:pPr>
        <w:pStyle w:val="NormalWeb"/>
      </w:pPr>
      <w:r>
        <w:t>INTERACCIONES CON ALIMENTOS Y MEDICAMENTOS:</w:t>
      </w:r>
    </w:p>
    <w:p w:rsidR="00F5385B" w:rsidRDefault="00F5385B" w:rsidP="00F5385B">
      <w:pPr>
        <w:pStyle w:val="NormalWeb"/>
      </w:pPr>
      <w:r>
        <w:t xml:space="preserve">Evitar el uso simultáneo con: Otros </w:t>
      </w:r>
      <w:proofErr w:type="spellStart"/>
      <w:r>
        <w:t>AINEs</w:t>
      </w:r>
      <w:proofErr w:type="spellEnd"/>
      <w:r>
        <w:t>, anticoagulantes orales, antidepresivos tricíclicos, IMAO, ingesta de bebidas alcohólicas u otros depresores del SNC a menos que el médico lo prescriba o lo apruebe.</w:t>
      </w:r>
    </w:p>
    <w:p w:rsidR="00F5385B" w:rsidRDefault="00F5385B" w:rsidP="00F5385B">
      <w:pPr>
        <w:pStyle w:val="NormalWeb"/>
      </w:pPr>
      <w:r>
        <w:t>SOBREDOSIFICACION:</w:t>
      </w:r>
    </w:p>
    <w:p w:rsidR="00F5385B" w:rsidRDefault="00F5385B" w:rsidP="00F5385B">
      <w:pPr>
        <w:pStyle w:val="NormalWeb"/>
      </w:pPr>
      <w:r>
        <w:t xml:space="preserve">El tratamiento de intoxicación aguda con </w:t>
      </w:r>
      <w:proofErr w:type="spellStart"/>
      <w:r>
        <w:t>AINEs</w:t>
      </w:r>
      <w:proofErr w:type="spellEnd"/>
      <w:r>
        <w:t xml:space="preserve"> consiste esencialmente en medidas de apoyo y sintomáticas. Lavado gástrico y tratamiento con carbón activado. Se aplicará un tratamiento de apoyo y sintomático frente a complicaciones como hipotensión, insuficiencia renal, convulsiones, irritación gastrointestinal y depresión respiratoria.</w:t>
      </w:r>
    </w:p>
    <w:p w:rsidR="00F5385B" w:rsidRDefault="00F5385B" w:rsidP="00F5385B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F5385B" w:rsidRDefault="00F5385B" w:rsidP="00F5385B">
      <w:pPr>
        <w:pStyle w:val="NormalWeb"/>
      </w:pPr>
      <w:r>
        <w:t>RESTRICCIONES DE USO:</w:t>
      </w:r>
    </w:p>
    <w:p w:rsidR="00F5385B" w:rsidRDefault="00F5385B" w:rsidP="00F5385B">
      <w:pPr>
        <w:pStyle w:val="NormalWeb"/>
      </w:pPr>
      <w:r>
        <w:t>No debe ser utilizado en niños menores de 14 años. Se recomienda su no prescripción durante el período de embarazo. No administrar sobre todo en el tercer trimestre del embarazo.</w:t>
      </w:r>
    </w:p>
    <w:p w:rsidR="00F5385B" w:rsidRDefault="00F5385B" w:rsidP="00F5385B">
      <w:pPr>
        <w:pStyle w:val="NormalWeb"/>
      </w:pPr>
      <w:r>
        <w:t>CONSERVACION:</w:t>
      </w:r>
    </w:p>
    <w:p w:rsidR="00F5385B" w:rsidRDefault="00F5385B" w:rsidP="00F5385B">
      <w:pPr>
        <w:pStyle w:val="NormalWeb"/>
      </w:pPr>
      <w:r>
        <w:t>En su envase original, a temperatura ambiente (15° a 30°C).</w:t>
      </w:r>
    </w:p>
    <w:p w:rsidR="00F5385B" w:rsidRDefault="00F5385B" w:rsidP="00F5385B">
      <w:pPr>
        <w:pStyle w:val="NormalWeb"/>
      </w:pPr>
      <w:r>
        <w:t>PRESENTACION:</w:t>
      </w:r>
    </w:p>
    <w:p w:rsidR="00F5385B" w:rsidRDefault="00F5385B" w:rsidP="00F5385B">
      <w:pPr>
        <w:pStyle w:val="NormalWeb"/>
      </w:pPr>
      <w:r>
        <w:t>Envase conteniendo 20 comprimidos recubiertos.</w:t>
      </w:r>
    </w:p>
    <w:p w:rsidR="00F5385B" w:rsidRDefault="00F5385B" w:rsidP="00F5385B">
      <w:pPr>
        <w:pStyle w:val="NormalWeb"/>
      </w:pPr>
      <w:r>
        <w:t>Este medicamento debe ser usado únicamente por prescripción médica y no podrá repetirse sin nueva indicación del facultativo. En caso de uso de éste medicamento sin prescripción médica, la ocurrencia de efectos adversos e indeseables, será de exclusiva responsabilidad, de quién lo consuma.</w:t>
      </w:r>
    </w:p>
    <w:p w:rsidR="00F5385B" w:rsidRDefault="00F5385B" w:rsidP="00F5385B">
      <w:pPr>
        <w:pStyle w:val="NormalWeb"/>
      </w:pPr>
      <w:r>
        <w:t>Si Ud. es deportista y está sometido a control de doping, no consuma este producto sin consultar a su médico.</w:t>
      </w:r>
    </w:p>
    <w:p w:rsidR="00F5385B" w:rsidRDefault="00F5385B" w:rsidP="00F5385B">
      <w:pPr>
        <w:pStyle w:val="NormalWeb"/>
      </w:pPr>
      <w:r>
        <w:t>D.T.: Q.F. Alba Edwards</w:t>
      </w:r>
    </w:p>
    <w:p w:rsidR="00F5385B" w:rsidRDefault="00F5385B" w:rsidP="00F5385B">
      <w:pPr>
        <w:pStyle w:val="NormalWeb"/>
      </w:pPr>
      <w:r>
        <w:t>Reg. Prof. N° 1.385</w:t>
      </w:r>
    </w:p>
    <w:p w:rsidR="00F5385B" w:rsidRDefault="00F5385B" w:rsidP="00F5385B">
      <w:pPr>
        <w:pStyle w:val="NormalWeb"/>
      </w:pPr>
      <w:r>
        <w:t>Autorizado por D.N.V.S. del M.S.P. y B.S.</w:t>
      </w:r>
    </w:p>
    <w:p w:rsidR="00F5385B" w:rsidRDefault="00F5385B" w:rsidP="00F5385B">
      <w:pPr>
        <w:pStyle w:val="NormalWeb"/>
      </w:pPr>
      <w:r>
        <w:t xml:space="preserve">Venta Bajo </w:t>
      </w:r>
      <w:proofErr w:type="spellStart"/>
      <w:r>
        <w:t>RecetaIndustria</w:t>
      </w:r>
      <w:proofErr w:type="spellEnd"/>
      <w:r>
        <w:t xml:space="preserve"> Paraguaya</w:t>
      </w:r>
    </w:p>
    <w:p w:rsidR="00F5385B" w:rsidRDefault="00F5385B" w:rsidP="00F5385B">
      <w:pPr>
        <w:pStyle w:val="NormalWeb"/>
      </w:pPr>
      <w:r>
        <w:t xml:space="preserve">MANTENER FUERA DEL ALCANCE DE LOS NIÑOS </w:t>
      </w:r>
    </w:p>
    <w:p w:rsidR="00F5385B" w:rsidRDefault="00F5385B" w:rsidP="00F5385B">
      <w:pPr>
        <w:pStyle w:val="NormalWeb"/>
      </w:pPr>
      <w:r>
        <w:t>MANTENER EN LUGAR FRESCO Y SECO</w:t>
      </w:r>
    </w:p>
    <w:p w:rsidR="00A9011C" w:rsidRPr="00F5385B" w:rsidRDefault="00A9011C" w:rsidP="00F5385B"/>
    <w:sectPr w:rsidR="00A9011C" w:rsidRPr="00F5385B" w:rsidSect="00A9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067670"/>
    <w:rsid w:val="00072F46"/>
    <w:rsid w:val="0009439F"/>
    <w:rsid w:val="000B0F5C"/>
    <w:rsid w:val="000C4E61"/>
    <w:rsid w:val="00156470"/>
    <w:rsid w:val="0017169E"/>
    <w:rsid w:val="001D0AF4"/>
    <w:rsid w:val="001F0CA4"/>
    <w:rsid w:val="00225276"/>
    <w:rsid w:val="00253CB2"/>
    <w:rsid w:val="00281481"/>
    <w:rsid w:val="00284A81"/>
    <w:rsid w:val="002B756A"/>
    <w:rsid w:val="002D7703"/>
    <w:rsid w:val="002F236D"/>
    <w:rsid w:val="002F5808"/>
    <w:rsid w:val="00327BE0"/>
    <w:rsid w:val="00396086"/>
    <w:rsid w:val="003C6430"/>
    <w:rsid w:val="003D406F"/>
    <w:rsid w:val="003F6B1E"/>
    <w:rsid w:val="00424175"/>
    <w:rsid w:val="004362A7"/>
    <w:rsid w:val="0048396F"/>
    <w:rsid w:val="004B3F2C"/>
    <w:rsid w:val="00502A25"/>
    <w:rsid w:val="00523E3C"/>
    <w:rsid w:val="0054013F"/>
    <w:rsid w:val="00552EFB"/>
    <w:rsid w:val="005D1962"/>
    <w:rsid w:val="006673B5"/>
    <w:rsid w:val="00681ABF"/>
    <w:rsid w:val="00682039"/>
    <w:rsid w:val="00844C9A"/>
    <w:rsid w:val="00855BA3"/>
    <w:rsid w:val="00876A05"/>
    <w:rsid w:val="008E3583"/>
    <w:rsid w:val="009218EF"/>
    <w:rsid w:val="009B1A8F"/>
    <w:rsid w:val="00A147ED"/>
    <w:rsid w:val="00A22581"/>
    <w:rsid w:val="00A25A47"/>
    <w:rsid w:val="00A366DE"/>
    <w:rsid w:val="00A9011C"/>
    <w:rsid w:val="00A968EC"/>
    <w:rsid w:val="00AF5E2E"/>
    <w:rsid w:val="00B01D7C"/>
    <w:rsid w:val="00B126F6"/>
    <w:rsid w:val="00B31B9E"/>
    <w:rsid w:val="00B5045E"/>
    <w:rsid w:val="00B57D9F"/>
    <w:rsid w:val="00BD1B75"/>
    <w:rsid w:val="00BD639B"/>
    <w:rsid w:val="00BD691D"/>
    <w:rsid w:val="00BE4F43"/>
    <w:rsid w:val="00C13605"/>
    <w:rsid w:val="00C435CE"/>
    <w:rsid w:val="00CB37E1"/>
    <w:rsid w:val="00CE610A"/>
    <w:rsid w:val="00D344A1"/>
    <w:rsid w:val="00D42B6B"/>
    <w:rsid w:val="00D45815"/>
    <w:rsid w:val="00D82977"/>
    <w:rsid w:val="00D82F3F"/>
    <w:rsid w:val="00DB0824"/>
    <w:rsid w:val="00E12158"/>
    <w:rsid w:val="00E24A06"/>
    <w:rsid w:val="00E54538"/>
    <w:rsid w:val="00E856D5"/>
    <w:rsid w:val="00EA7842"/>
    <w:rsid w:val="00EA78BE"/>
    <w:rsid w:val="00EB6963"/>
    <w:rsid w:val="00EC080D"/>
    <w:rsid w:val="00EC5EF1"/>
    <w:rsid w:val="00F40068"/>
    <w:rsid w:val="00F5385B"/>
    <w:rsid w:val="00F72641"/>
    <w:rsid w:val="00F81C88"/>
    <w:rsid w:val="00FD71E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2020-12-10T17:25:00Z</cp:lastPrinted>
  <dcterms:created xsi:type="dcterms:W3CDTF">2020-12-10T17:36:00Z</dcterms:created>
  <dcterms:modified xsi:type="dcterms:W3CDTF">2020-12-10T17:36:00Z</dcterms:modified>
</cp:coreProperties>
</file>