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1E" w:rsidRDefault="00615A1E" w:rsidP="00615A1E">
      <w:pPr>
        <w:pStyle w:val="NormalWeb"/>
      </w:pPr>
      <w:r>
        <w:t>BRONCOTOS® NF</w:t>
      </w:r>
    </w:p>
    <w:p w:rsidR="00615A1E" w:rsidRDefault="00615A1E" w:rsidP="00615A1E">
      <w:pPr>
        <w:pStyle w:val="NormalWeb"/>
      </w:pPr>
      <w:r>
        <w:t>DEXTROMETORFANO</w:t>
      </w:r>
    </w:p>
    <w:p w:rsidR="00615A1E" w:rsidRDefault="00615A1E" w:rsidP="00615A1E">
      <w:pPr>
        <w:pStyle w:val="NormalWeb"/>
      </w:pPr>
      <w:r>
        <w:t xml:space="preserve">Venta Bajo Receta Jarabe/Comprimidos </w:t>
      </w:r>
    </w:p>
    <w:p w:rsidR="00615A1E" w:rsidRDefault="00615A1E" w:rsidP="00615A1E">
      <w:pPr>
        <w:pStyle w:val="NormalWeb"/>
      </w:pPr>
      <w:r>
        <w:t>Industria Paraguaya V.A.: Oral</w:t>
      </w:r>
    </w:p>
    <w:p w:rsidR="00615A1E" w:rsidRDefault="00615A1E" w:rsidP="00615A1E">
      <w:pPr>
        <w:pStyle w:val="NormalWeb"/>
      </w:pPr>
      <w:r>
        <w:t>FORMULA:</w:t>
      </w:r>
    </w:p>
    <w:p w:rsidR="00615A1E" w:rsidRDefault="00615A1E" w:rsidP="00615A1E">
      <w:pPr>
        <w:pStyle w:val="NormalWeb"/>
      </w:pPr>
      <w:r>
        <w:t xml:space="preserve">Cada 5 </w:t>
      </w:r>
      <w:proofErr w:type="spellStart"/>
      <w:r>
        <w:t>mL</w:t>
      </w:r>
      <w:proofErr w:type="spellEnd"/>
      <w:r>
        <w:t xml:space="preserve"> contiene: </w:t>
      </w:r>
    </w:p>
    <w:p w:rsidR="00615A1E" w:rsidRDefault="00615A1E" w:rsidP="00615A1E">
      <w:pPr>
        <w:pStyle w:val="NormalWeb"/>
      </w:pPr>
      <w:proofErr w:type="spellStart"/>
      <w:r>
        <w:t>Dextrometorfano</w:t>
      </w:r>
      <w:proofErr w:type="spellEnd"/>
      <w:r>
        <w:t xml:space="preserve"> Bromhidrato.....................................................................................................................10 mg.</w:t>
      </w:r>
    </w:p>
    <w:p w:rsidR="00615A1E" w:rsidRDefault="00615A1E" w:rsidP="00615A1E">
      <w:pPr>
        <w:pStyle w:val="NormalWeb"/>
      </w:pPr>
      <w:r>
        <w:t>Excipientes.....................................................................................................................................................c.s.p.</w:t>
      </w:r>
    </w:p>
    <w:p w:rsidR="00615A1E" w:rsidRDefault="00615A1E" w:rsidP="00615A1E">
      <w:pPr>
        <w:pStyle w:val="NormalWeb"/>
      </w:pPr>
      <w:r>
        <w:t>FORMULA:</w:t>
      </w:r>
    </w:p>
    <w:p w:rsidR="00615A1E" w:rsidRDefault="00615A1E" w:rsidP="00615A1E">
      <w:pPr>
        <w:pStyle w:val="NormalWeb"/>
      </w:pPr>
      <w:r>
        <w:t>Cada comprimido contiene:</w:t>
      </w:r>
    </w:p>
    <w:p w:rsidR="00615A1E" w:rsidRDefault="00615A1E" w:rsidP="00615A1E">
      <w:pPr>
        <w:pStyle w:val="NormalWeb"/>
      </w:pPr>
      <w:proofErr w:type="spellStart"/>
      <w:r>
        <w:t>Dextrometorfano</w:t>
      </w:r>
      <w:proofErr w:type="spellEnd"/>
      <w:r>
        <w:t xml:space="preserve"> (</w:t>
      </w:r>
      <w:proofErr w:type="spellStart"/>
      <w:r>
        <w:t>Equiv</w:t>
      </w:r>
      <w:proofErr w:type="spellEnd"/>
      <w:r>
        <w:t xml:space="preserve">. a 20,4 mg de </w:t>
      </w:r>
      <w:proofErr w:type="spellStart"/>
      <w:r>
        <w:t>Dextrometorfano</w:t>
      </w:r>
      <w:proofErr w:type="spellEnd"/>
      <w:r>
        <w:t xml:space="preserve"> Bromhidrato)…................................................…15 mg.</w:t>
      </w:r>
    </w:p>
    <w:p w:rsidR="00615A1E" w:rsidRDefault="00615A1E" w:rsidP="00615A1E">
      <w:pPr>
        <w:pStyle w:val="NormalWeb"/>
      </w:pPr>
      <w:r>
        <w:t>Excipientes.....................................................................................................................................................c.s.p.</w:t>
      </w:r>
    </w:p>
    <w:p w:rsidR="00615A1E" w:rsidRDefault="00615A1E" w:rsidP="00615A1E">
      <w:pPr>
        <w:pStyle w:val="NormalWeb"/>
      </w:pPr>
      <w:r>
        <w:t>ACCION TERAPEUTICA:</w:t>
      </w:r>
    </w:p>
    <w:p w:rsidR="00615A1E" w:rsidRDefault="00615A1E" w:rsidP="00615A1E">
      <w:pPr>
        <w:pStyle w:val="NormalWeb"/>
      </w:pPr>
      <w:r>
        <w:t xml:space="preserve">Grupo </w:t>
      </w:r>
      <w:proofErr w:type="spellStart"/>
      <w:r>
        <w:t>farmacoterapéutico</w:t>
      </w:r>
      <w:proofErr w:type="spellEnd"/>
      <w:r>
        <w:t xml:space="preserve">: Supresores de la tos, excluyendo combinaciones con expectorantes, alcaloides del opio y derivados: </w:t>
      </w:r>
      <w:proofErr w:type="spellStart"/>
      <w:r>
        <w:t>Dextrometorfano</w:t>
      </w:r>
      <w:proofErr w:type="spellEnd"/>
      <w:r>
        <w:t>.</w:t>
      </w:r>
    </w:p>
    <w:p w:rsidR="00615A1E" w:rsidRDefault="00615A1E" w:rsidP="00615A1E">
      <w:pPr>
        <w:pStyle w:val="NormalWeb"/>
      </w:pPr>
      <w:r>
        <w:t>MECANISMO DE ACCION Y DATOS FARMACOCINETICOS:</w:t>
      </w:r>
    </w:p>
    <w:p w:rsidR="00615A1E" w:rsidRDefault="00615A1E" w:rsidP="00615A1E">
      <w:pPr>
        <w:pStyle w:val="NormalWeb"/>
      </w:pPr>
      <w:r>
        <w:t xml:space="preserve">Propiedades </w:t>
      </w:r>
      <w:proofErr w:type="spellStart"/>
      <w:r>
        <w:t>Farmacodinamicas</w:t>
      </w:r>
      <w:proofErr w:type="spellEnd"/>
      <w:r>
        <w:t xml:space="preserve">: El </w:t>
      </w:r>
      <w:proofErr w:type="spellStart"/>
      <w:r>
        <w:t>dextrometorfano</w:t>
      </w:r>
      <w:proofErr w:type="spellEnd"/>
      <w:r>
        <w:t xml:space="preserve"> es el isómero dextro del </w:t>
      </w:r>
      <w:proofErr w:type="spellStart"/>
      <w:r>
        <w:t>levorfanol</w:t>
      </w:r>
      <w:proofErr w:type="spellEnd"/>
      <w:r>
        <w:t xml:space="preserve">, un análogo de codeína. Actúa a nivel central, produciendo la depresión del centro medular de la tos al disminuir la producción de </w:t>
      </w:r>
      <w:proofErr w:type="spellStart"/>
      <w:r>
        <w:t>taquicininas</w:t>
      </w:r>
      <w:proofErr w:type="spellEnd"/>
      <w:r>
        <w:t xml:space="preserve">, los principales </w:t>
      </w:r>
      <w:proofErr w:type="spellStart"/>
      <w:r>
        <w:t>nerotransmisores</w:t>
      </w:r>
      <w:proofErr w:type="spellEnd"/>
      <w:r>
        <w:t xml:space="preserve"> de las fibras C, que constituyen dicho centro de control. Se desconoce cómo ejerce dicho efecto. Presenta un efecto </w:t>
      </w:r>
      <w:proofErr w:type="spellStart"/>
      <w:r>
        <w:t>antitusivo</w:t>
      </w:r>
      <w:proofErr w:type="spellEnd"/>
      <w:r>
        <w:t xml:space="preserve"> similar al de la codeína, pero al contrario que ésta, carece de efectos narcóticos y sobre el sistema respiratorio.</w:t>
      </w:r>
    </w:p>
    <w:p w:rsidR="00615A1E" w:rsidRDefault="00615A1E" w:rsidP="00615A1E">
      <w:pPr>
        <w:pStyle w:val="NormalWeb"/>
      </w:pPr>
      <w:r>
        <w:t xml:space="preserve">Propiedades Farmacocinéticas: </w:t>
      </w:r>
    </w:p>
    <w:p w:rsidR="00615A1E" w:rsidRDefault="00615A1E" w:rsidP="00615A1E">
      <w:pPr>
        <w:pStyle w:val="NormalWeb"/>
      </w:pPr>
      <w:r>
        <w:t xml:space="preserve">Absorción: Se absorbe en el tracto gastrointestinal, alcanzándose la </w:t>
      </w:r>
      <w:proofErr w:type="spellStart"/>
      <w:r>
        <w:t>Cmax</w:t>
      </w:r>
      <w:proofErr w:type="spellEnd"/>
      <w:r>
        <w:t xml:space="preserve"> alrededor de las 2 horas. Los efectos comienzan a los 15-30 minutos, y se prolongan durante 6 horas.</w:t>
      </w:r>
    </w:p>
    <w:p w:rsidR="00615A1E" w:rsidRDefault="00615A1E" w:rsidP="00615A1E">
      <w:pPr>
        <w:pStyle w:val="NormalWeb"/>
      </w:pPr>
      <w:r>
        <w:t xml:space="preserve">Metabolismo: Sufre un intenso metabolismo en el hígado a través de la </w:t>
      </w:r>
      <w:proofErr w:type="spellStart"/>
      <w:r>
        <w:t>isoenzima</w:t>
      </w:r>
      <w:proofErr w:type="spellEnd"/>
      <w:r>
        <w:t xml:space="preserve"> CYP2D6 y CYP3A4 del citocromo P450, formándose derivados </w:t>
      </w:r>
      <w:proofErr w:type="spellStart"/>
      <w:r>
        <w:t>desmetilados</w:t>
      </w:r>
      <w:proofErr w:type="spellEnd"/>
      <w:r>
        <w:t xml:space="preserve"> como el </w:t>
      </w:r>
      <w:proofErr w:type="spellStart"/>
      <w:r>
        <w:t>Dextrometorfano</w:t>
      </w:r>
      <w:proofErr w:type="spellEnd"/>
      <w:r>
        <w:t>, que presenta cierta actividad.</w:t>
      </w:r>
    </w:p>
    <w:p w:rsidR="00615A1E" w:rsidRDefault="00615A1E" w:rsidP="00615A1E">
      <w:pPr>
        <w:pStyle w:val="NormalWeb"/>
      </w:pPr>
      <w:r>
        <w:t xml:space="preserve">Excreción: El </w:t>
      </w:r>
      <w:proofErr w:type="spellStart"/>
      <w:r>
        <w:t>Dextrometorfano</w:t>
      </w:r>
      <w:proofErr w:type="spellEnd"/>
      <w:r>
        <w:t xml:space="preserve"> se excreta en orina, de forma inalterada o como metabolitos </w:t>
      </w:r>
      <w:proofErr w:type="spellStart"/>
      <w:r>
        <w:t>desmetilados</w:t>
      </w:r>
      <w:proofErr w:type="spellEnd"/>
      <w:r>
        <w:t xml:space="preserve">. La semivida de eliminación del </w:t>
      </w:r>
      <w:proofErr w:type="spellStart"/>
      <w:r>
        <w:t>Dextrometorfano</w:t>
      </w:r>
      <w:proofErr w:type="spellEnd"/>
      <w:r>
        <w:t xml:space="preserve"> es de 3,4 a 5,6 horas.</w:t>
      </w:r>
    </w:p>
    <w:p w:rsidR="00615A1E" w:rsidRDefault="00615A1E" w:rsidP="00615A1E">
      <w:pPr>
        <w:pStyle w:val="NormalWeb"/>
      </w:pPr>
      <w:r>
        <w:t xml:space="preserve">Farmacocinética en situaciones especiales: </w:t>
      </w:r>
    </w:p>
    <w:p w:rsidR="00615A1E" w:rsidRDefault="00615A1E" w:rsidP="00615A1E">
      <w:pPr>
        <w:pStyle w:val="NormalWeb"/>
      </w:pPr>
      <w:proofErr w:type="spellStart"/>
      <w:r>
        <w:t>Metabolizadores</w:t>
      </w:r>
      <w:proofErr w:type="spellEnd"/>
      <w:r>
        <w:t xml:space="preserve"> lentos. Alrededor de 6% de la población carece del gen que codifica las enzimas que metabolizan el </w:t>
      </w:r>
      <w:proofErr w:type="spellStart"/>
      <w:r>
        <w:t>Dextrometorfano</w:t>
      </w:r>
      <w:proofErr w:type="spellEnd"/>
      <w:r>
        <w:t xml:space="preserve">, que se hereda con patrón </w:t>
      </w:r>
      <w:proofErr w:type="spellStart"/>
      <w:r>
        <w:t>autosónico</w:t>
      </w:r>
      <w:proofErr w:type="spellEnd"/>
      <w:r>
        <w:t xml:space="preserve"> recesivo, presentando unos niveles plasmáticos hasta 20 veces superiores a los normales. La semivida de eliminación puede llegar hasta 45 horas.</w:t>
      </w:r>
    </w:p>
    <w:p w:rsidR="00615A1E" w:rsidRDefault="00615A1E" w:rsidP="00615A1E">
      <w:pPr>
        <w:pStyle w:val="NormalWeb"/>
      </w:pPr>
      <w:r>
        <w:t xml:space="preserve">INDICACIONES TERAPEUTICAS: </w:t>
      </w:r>
    </w:p>
    <w:p w:rsidR="00615A1E" w:rsidRDefault="00615A1E" w:rsidP="00615A1E">
      <w:pPr>
        <w:pStyle w:val="NormalWeb"/>
      </w:pPr>
      <w:r>
        <w:t>Está indicado para el tratamiento sintomático de las formas improductivas de tos (tos irritativa, tos nerviosa).</w:t>
      </w:r>
    </w:p>
    <w:p w:rsidR="00615A1E" w:rsidRDefault="00615A1E" w:rsidP="00615A1E">
      <w:pPr>
        <w:pStyle w:val="NormalWeb"/>
      </w:pPr>
      <w:r>
        <w:t xml:space="preserve">POSOLOGIA: </w:t>
      </w:r>
    </w:p>
    <w:p w:rsidR="00615A1E" w:rsidRDefault="00615A1E" w:rsidP="00615A1E">
      <w:pPr>
        <w:pStyle w:val="NormalWeb"/>
      </w:pPr>
      <w:r>
        <w:t>Jarabe:</w:t>
      </w:r>
    </w:p>
    <w:p w:rsidR="00615A1E" w:rsidRDefault="00615A1E" w:rsidP="00615A1E">
      <w:pPr>
        <w:pStyle w:val="NormalWeb"/>
      </w:pPr>
      <w:r>
        <w:t xml:space="preserve">Mayores de 12 años: 5 – 10 </w:t>
      </w:r>
      <w:proofErr w:type="spellStart"/>
      <w:r>
        <w:t>mL</w:t>
      </w:r>
      <w:proofErr w:type="spellEnd"/>
      <w:r>
        <w:t xml:space="preserve"> de jarabe que equivalen a 1-2 cucharitas dosificadoras, cada 4 horas. No sobrepasando las 6 tomas diarias, o 30 mg cada 6-8 horas. Máximo 120 mg/día.</w:t>
      </w:r>
    </w:p>
    <w:p w:rsidR="00615A1E" w:rsidRDefault="00615A1E" w:rsidP="00615A1E">
      <w:pPr>
        <w:pStyle w:val="NormalWeb"/>
      </w:pPr>
      <w:r>
        <w:t xml:space="preserve">Niños entre 6-12 años: 2,5 – 5 </w:t>
      </w:r>
      <w:proofErr w:type="spellStart"/>
      <w:r>
        <w:t>mL</w:t>
      </w:r>
      <w:proofErr w:type="spellEnd"/>
      <w:r>
        <w:t xml:space="preserve"> de jarabe que equivalen a 1/2 -2 cucharitas dosificadoras, cada 4 horas. No sobrepasando las 6 tomas diarias, o 15 mg cada 6-8 horas. Máximo 60 mg/día.</w:t>
      </w:r>
    </w:p>
    <w:p w:rsidR="00615A1E" w:rsidRDefault="00615A1E" w:rsidP="00615A1E">
      <w:pPr>
        <w:pStyle w:val="NormalWeb"/>
      </w:pPr>
      <w:r>
        <w:t xml:space="preserve">Niños entre 2-5 años: 1,25 – 2,5 </w:t>
      </w:r>
      <w:proofErr w:type="spellStart"/>
      <w:r>
        <w:t>mL</w:t>
      </w:r>
      <w:proofErr w:type="spellEnd"/>
      <w:r>
        <w:t xml:space="preserve"> de jarabe que equivalen a 1/4 -1/2 cucharitas dosificadoras, cada 4 horas. No sobrepasando las 6 tomas diarias, o 15 mg cada 12 horas. Máximo 30 mg/día.</w:t>
      </w:r>
    </w:p>
    <w:p w:rsidR="00615A1E" w:rsidRDefault="00615A1E" w:rsidP="00615A1E">
      <w:pPr>
        <w:pStyle w:val="NormalWeb"/>
      </w:pPr>
      <w:r>
        <w:t>Comprimidos:</w:t>
      </w:r>
    </w:p>
    <w:p w:rsidR="00615A1E" w:rsidRDefault="00615A1E" w:rsidP="00615A1E">
      <w:pPr>
        <w:pStyle w:val="NormalWeb"/>
      </w:pPr>
      <w:r>
        <w:t>Mayores de 12 años: 10-20 mg, cada 4 horas. No sobrepasando las 6 tomas diarias, o 30 mg cada 6-8 horas. Máximo 120 mg/día.</w:t>
      </w:r>
    </w:p>
    <w:p w:rsidR="00615A1E" w:rsidRDefault="00615A1E" w:rsidP="00615A1E">
      <w:pPr>
        <w:pStyle w:val="NormalWeb"/>
      </w:pPr>
      <w:r>
        <w:t>Niños entre 6-12 años: 5-10 mg, cada 4 horas. No sobrepasando las 6 tomas diarias, o 15 mg cada 6-8 horas. Máximo 60 mg/día</w:t>
      </w:r>
    </w:p>
    <w:p w:rsidR="00615A1E" w:rsidRDefault="00615A1E" w:rsidP="00615A1E">
      <w:pPr>
        <w:pStyle w:val="NormalWeb"/>
      </w:pPr>
      <w:r>
        <w:t>Niños entre 2-5 años: 2,5 - 5 mg, cada 4 horas. No sobrepasando las 6 tomas diarias, o 15 mg cada 12 horas. Máximo 30 mg/día.</w:t>
      </w:r>
    </w:p>
    <w:p w:rsidR="00615A1E" w:rsidRDefault="00615A1E" w:rsidP="00615A1E">
      <w:pPr>
        <w:pStyle w:val="NormalWeb"/>
      </w:pPr>
      <w:r>
        <w:t>Uso en niños menores de 2 años: No está recomendado.</w:t>
      </w:r>
    </w:p>
    <w:p w:rsidR="00615A1E" w:rsidRDefault="00615A1E" w:rsidP="00615A1E">
      <w:pPr>
        <w:pStyle w:val="NormalWeb"/>
      </w:pPr>
      <w:r>
        <w:t xml:space="preserve">Uso en niños: </w:t>
      </w:r>
      <w:proofErr w:type="spellStart"/>
      <w:r>
        <w:t>Dextrometorfano</w:t>
      </w:r>
      <w:proofErr w:type="spellEnd"/>
      <w:r>
        <w:t xml:space="preserve"> no está recomendado para uso en niños menores de 2 años debido a la ausencia de datos sobre eficacia en esta población.</w:t>
      </w:r>
    </w:p>
    <w:p w:rsidR="00615A1E" w:rsidRDefault="00615A1E" w:rsidP="00615A1E">
      <w:pPr>
        <w:pStyle w:val="NormalWeb"/>
      </w:pPr>
      <w:r>
        <w:t>No tomar con zumo de pomelo o naranja amarga ni con bebidas alcohólicas.</w:t>
      </w:r>
    </w:p>
    <w:p w:rsidR="00615A1E" w:rsidRDefault="00615A1E" w:rsidP="00615A1E">
      <w:pPr>
        <w:pStyle w:val="NormalWeb"/>
      </w:pPr>
      <w:r>
        <w:t xml:space="preserve">CONTRAINDICACIONES: </w:t>
      </w:r>
    </w:p>
    <w:p w:rsidR="00615A1E" w:rsidRDefault="00615A1E" w:rsidP="00615A1E">
      <w:pPr>
        <w:pStyle w:val="NormalWeb"/>
      </w:pPr>
      <w:r>
        <w:t xml:space="preserve">Hipersensibilidad al </w:t>
      </w:r>
      <w:proofErr w:type="spellStart"/>
      <w:r>
        <w:t>Dextrometorfano</w:t>
      </w:r>
      <w:proofErr w:type="spellEnd"/>
      <w:r>
        <w:t xml:space="preserve"> o a alguno de los excipientes de este medicamento.</w:t>
      </w:r>
    </w:p>
    <w:p w:rsidR="00615A1E" w:rsidRDefault="00615A1E" w:rsidP="00615A1E">
      <w:pPr>
        <w:pStyle w:val="NormalWeb"/>
      </w:pPr>
      <w:r>
        <w:t>Tos asmática, Tos productiva. Insuficiencia respiratoria. Tratamiento, concomitante o en las 2 semanas precedentes, con IMAO.</w:t>
      </w:r>
    </w:p>
    <w:p w:rsidR="00615A1E" w:rsidRDefault="00615A1E" w:rsidP="00615A1E">
      <w:pPr>
        <w:pStyle w:val="NormalWeb"/>
      </w:pPr>
      <w:r>
        <w:t>PRECAUCIONES Y ADVERTENCIAS:</w:t>
      </w:r>
    </w:p>
    <w:p w:rsidR="00615A1E" w:rsidRDefault="00615A1E" w:rsidP="00615A1E">
      <w:pPr>
        <w:pStyle w:val="NormalWeb"/>
      </w:pPr>
      <w:r>
        <w:t xml:space="preserve">En pacientes con enfermedades hepáticas puede alterarse el metabolismo del </w:t>
      </w:r>
      <w:proofErr w:type="spellStart"/>
      <w:r>
        <w:t>Dextrometorfano</w:t>
      </w:r>
      <w:proofErr w:type="spellEnd"/>
      <w:r>
        <w:t>, esto se deberá tener en cuenta a la hora de establecer la pauta posológica de estos pacientes.</w:t>
      </w:r>
    </w:p>
    <w:p w:rsidR="00615A1E" w:rsidRDefault="00615A1E" w:rsidP="00615A1E">
      <w:pPr>
        <w:pStyle w:val="NormalWeb"/>
      </w:pPr>
      <w:r>
        <w:t>No debe administrarse a niños menores de 2 años. No se debe administrar en caso de pacientes sedados, debilitados o encamados. No utilizar este medicamento en caso de tos persistente o crónica, como la debida al tabaco, ya que puede deteriorar la expectoración y aumentar así la resistencia de las vías respiratorias.</w:t>
      </w:r>
    </w:p>
    <w:p w:rsidR="00615A1E" w:rsidRDefault="00615A1E" w:rsidP="00615A1E">
      <w:pPr>
        <w:pStyle w:val="NormalWeb"/>
      </w:pPr>
      <w:r>
        <w:t xml:space="preserve">La administración del </w:t>
      </w:r>
      <w:proofErr w:type="spellStart"/>
      <w:r>
        <w:t>Dextrometorfano</w:t>
      </w:r>
      <w:proofErr w:type="spellEnd"/>
      <w:r>
        <w:t xml:space="preserve"> puede estar asociada a la liberación de Histamina, por lo que deberá evitarse en el caso de pacientes con dermatitis atópica.</w:t>
      </w:r>
    </w:p>
    <w:p w:rsidR="00615A1E" w:rsidRDefault="00615A1E" w:rsidP="00615A1E">
      <w:pPr>
        <w:pStyle w:val="NormalWeb"/>
      </w:pPr>
      <w:r>
        <w:t>REACCIONES ADVERSAS Y EFECTOS COLATERALES:</w:t>
      </w:r>
    </w:p>
    <w:p w:rsidR="00615A1E" w:rsidRDefault="00615A1E" w:rsidP="00615A1E">
      <w:pPr>
        <w:pStyle w:val="NormalWeb"/>
      </w:pPr>
      <w:r>
        <w:t xml:space="preserve">Durante el periodo de utilización del </w:t>
      </w:r>
      <w:proofErr w:type="spellStart"/>
      <w:r>
        <w:t>Dextrometorfano</w:t>
      </w:r>
      <w:proofErr w:type="spellEnd"/>
      <w:r>
        <w:t>, se han notificado las siguientes reacciones adversas cuya frecuencia no se ha podido establecer con exactitud:</w:t>
      </w:r>
    </w:p>
    <w:p w:rsidR="00615A1E" w:rsidRDefault="00615A1E" w:rsidP="00615A1E">
      <w:pPr>
        <w:pStyle w:val="NormalWeb"/>
      </w:pPr>
      <w:r>
        <w:t xml:space="preserve">Trastornos del sistema nervioso: Se han notificado que en algunos casos se ha producido somnolencia, mareo y vértigo y más raramente confusión mental y dolor de cabeza. </w:t>
      </w:r>
    </w:p>
    <w:p w:rsidR="00615A1E" w:rsidRDefault="00615A1E" w:rsidP="00615A1E">
      <w:pPr>
        <w:pStyle w:val="NormalWeb"/>
      </w:pPr>
      <w:r>
        <w:t>Trastornos gastrointestinales: Se han notificado que en algunos casos se ha producido estreñimiento, nauseas, vómitos y molestias gastrointestinales.</w:t>
      </w:r>
    </w:p>
    <w:p w:rsidR="00615A1E" w:rsidRDefault="00615A1E" w:rsidP="00615A1E">
      <w:pPr>
        <w:pStyle w:val="NormalWeb"/>
      </w:pPr>
      <w:r>
        <w:t xml:space="preserve">En caso de observarse la aparición de reacciones adversas, se debe notificar a los Sistemas de </w:t>
      </w:r>
      <w:proofErr w:type="spellStart"/>
      <w:r>
        <w:t>Farmacovigilancia</w:t>
      </w:r>
      <w:proofErr w:type="spellEnd"/>
      <w:r>
        <w:t xml:space="preserve"> y si fuera necesario suspender el tratamiento. </w:t>
      </w:r>
    </w:p>
    <w:p w:rsidR="00615A1E" w:rsidRDefault="00615A1E" w:rsidP="00615A1E">
      <w:pPr>
        <w:pStyle w:val="NormalWeb"/>
      </w:pPr>
      <w:r>
        <w:t>INTERACCIONES CON ALIMENTOS Y MEDICAMENTOS:</w:t>
      </w:r>
    </w:p>
    <w:p w:rsidR="00615A1E" w:rsidRDefault="00615A1E" w:rsidP="00615A1E">
      <w:pPr>
        <w:pStyle w:val="NormalWeb"/>
      </w:pPr>
      <w:r>
        <w:t>AINE inhibidores de la COX-2 (</w:t>
      </w:r>
      <w:proofErr w:type="spellStart"/>
      <w:r>
        <w:t>Coxib</w:t>
      </w:r>
      <w:proofErr w:type="spellEnd"/>
      <w:r>
        <w:t xml:space="preserve">). En estudios </w:t>
      </w:r>
      <w:proofErr w:type="spellStart"/>
      <w:r>
        <w:t>farmacocinéticos</w:t>
      </w:r>
      <w:proofErr w:type="spellEnd"/>
      <w:r>
        <w:t xml:space="preserve"> se ha podido observar que las concentraciones plasmáticas de </w:t>
      </w:r>
      <w:proofErr w:type="spellStart"/>
      <w:r>
        <w:t>Dextrometorfano</w:t>
      </w:r>
      <w:proofErr w:type="spellEnd"/>
      <w:r>
        <w:t xml:space="preserve"> podrían verse aumentadas al administrar junto con </w:t>
      </w:r>
      <w:proofErr w:type="spellStart"/>
      <w:r>
        <w:t>Celecoxib</w:t>
      </w:r>
      <w:proofErr w:type="spellEnd"/>
      <w:r>
        <w:t xml:space="preserve">, </w:t>
      </w:r>
      <w:proofErr w:type="spellStart"/>
      <w:r>
        <w:t>Parecoxib</w:t>
      </w:r>
      <w:proofErr w:type="spellEnd"/>
      <w:r>
        <w:t xml:space="preserve"> o </w:t>
      </w:r>
      <w:proofErr w:type="spellStart"/>
      <w:r>
        <w:t>Valdecoxib</w:t>
      </w:r>
      <w:proofErr w:type="spellEnd"/>
      <w:r>
        <w:t xml:space="preserve"> por la inhibición del metabolismo hepático del </w:t>
      </w:r>
      <w:proofErr w:type="spellStart"/>
      <w:r>
        <w:t>Dextrometorfano</w:t>
      </w:r>
      <w:proofErr w:type="spellEnd"/>
      <w:r>
        <w:t>.</w:t>
      </w:r>
    </w:p>
    <w:p w:rsidR="00615A1E" w:rsidRDefault="00615A1E" w:rsidP="00615A1E">
      <w:pPr>
        <w:pStyle w:val="NormalWeb"/>
      </w:pPr>
      <w:proofErr w:type="spellStart"/>
      <w:r>
        <w:t>Antiarritmicos</w:t>
      </w:r>
      <w:proofErr w:type="spellEnd"/>
      <w:r>
        <w:t xml:space="preserve"> (</w:t>
      </w:r>
      <w:proofErr w:type="spellStart"/>
      <w:r>
        <w:t>Amiodarona</w:t>
      </w:r>
      <w:proofErr w:type="spellEnd"/>
      <w:r>
        <w:t xml:space="preserve"> o </w:t>
      </w:r>
      <w:proofErr w:type="spellStart"/>
      <w:r>
        <w:t>Quinidina</w:t>
      </w:r>
      <w:proofErr w:type="spellEnd"/>
      <w:r>
        <w:t xml:space="preserve">). Aumentan las concentraciones plasmáticas de </w:t>
      </w:r>
      <w:proofErr w:type="spellStart"/>
      <w:r>
        <w:t>Dextrometorfano</w:t>
      </w:r>
      <w:proofErr w:type="spellEnd"/>
      <w:r>
        <w:t xml:space="preserve"> pudiendo alcanzarse niveles tóxicos. Podría ser necesario un reajuste de dosis.</w:t>
      </w:r>
    </w:p>
    <w:p w:rsidR="00615A1E" w:rsidRDefault="00615A1E" w:rsidP="00615A1E">
      <w:pPr>
        <w:pStyle w:val="NormalWeb"/>
      </w:pPr>
      <w:r>
        <w:t xml:space="preserve">Antidepresivos inhibidores de la </w:t>
      </w:r>
      <w:proofErr w:type="spellStart"/>
      <w:r>
        <w:t>monoaminoxidasa</w:t>
      </w:r>
      <w:proofErr w:type="spellEnd"/>
      <w:r>
        <w:t xml:space="preserve"> (IMAO) COMO </w:t>
      </w:r>
      <w:proofErr w:type="spellStart"/>
      <w:r>
        <w:t>Moclobemida</w:t>
      </w:r>
      <w:proofErr w:type="spellEnd"/>
      <w:r>
        <w:t xml:space="preserve">, </w:t>
      </w:r>
      <w:proofErr w:type="spellStart"/>
      <w:r>
        <w:t>Tranilcipromina</w:t>
      </w:r>
      <w:proofErr w:type="spellEnd"/>
      <w:r>
        <w:t xml:space="preserve">, Antidepresivos inhibidores de la </w:t>
      </w:r>
      <w:proofErr w:type="spellStart"/>
      <w:r>
        <w:t>recaptación</w:t>
      </w:r>
      <w:proofErr w:type="spellEnd"/>
      <w:r>
        <w:t xml:space="preserve"> de la serotonina (ISRS) como </w:t>
      </w:r>
      <w:proofErr w:type="spellStart"/>
      <w:r>
        <w:t>Fluoxetina</w:t>
      </w:r>
      <w:proofErr w:type="spellEnd"/>
      <w:r>
        <w:t xml:space="preserve"> y </w:t>
      </w:r>
      <w:proofErr w:type="spellStart"/>
      <w:r>
        <w:t>Paroxetina</w:t>
      </w:r>
      <w:proofErr w:type="spellEnd"/>
      <w:r>
        <w:t xml:space="preserve">, fármacos </w:t>
      </w:r>
      <w:proofErr w:type="spellStart"/>
      <w:r>
        <w:t>serotoninérgicos</w:t>
      </w:r>
      <w:proofErr w:type="spellEnd"/>
      <w:r>
        <w:t xml:space="preserve"> como </w:t>
      </w:r>
      <w:proofErr w:type="spellStart"/>
      <w:r>
        <w:t>Bupropion</w:t>
      </w:r>
      <w:proofErr w:type="spellEnd"/>
      <w:r>
        <w:t xml:space="preserve"> y otros medicamentos inhibidores de la </w:t>
      </w:r>
      <w:proofErr w:type="spellStart"/>
      <w:r>
        <w:t>monoaminoxidasa</w:t>
      </w:r>
      <w:proofErr w:type="spellEnd"/>
      <w:r>
        <w:t xml:space="preserve"> (IMAO) como </w:t>
      </w:r>
      <w:proofErr w:type="spellStart"/>
      <w:r>
        <w:t>Procarbazina</w:t>
      </w:r>
      <w:proofErr w:type="spellEnd"/>
      <w:r>
        <w:t xml:space="preserve">, </w:t>
      </w:r>
      <w:proofErr w:type="spellStart"/>
      <w:r>
        <w:t>Selegilina</w:t>
      </w:r>
      <w:proofErr w:type="spellEnd"/>
      <w:r>
        <w:t xml:space="preserve">, </w:t>
      </w:r>
      <w:proofErr w:type="spellStart"/>
      <w:r>
        <w:t>Linezolol</w:t>
      </w:r>
      <w:proofErr w:type="spellEnd"/>
      <w:r>
        <w:t xml:space="preserve">: Se han producido graves reacciones adversas, caracterizadas por un síndrome </w:t>
      </w:r>
      <w:proofErr w:type="spellStart"/>
      <w:r>
        <w:t>serotoninérgico</w:t>
      </w:r>
      <w:proofErr w:type="spellEnd"/>
      <w:r>
        <w:t xml:space="preserve"> con excitación, sudoración, rigidez e hipertensión. Este cuadro podrá deberse a la inhibición del metabolismo hepático del </w:t>
      </w:r>
      <w:proofErr w:type="spellStart"/>
      <w:r>
        <w:t>Dextrometorfano</w:t>
      </w:r>
      <w:proofErr w:type="spellEnd"/>
      <w:r>
        <w:t xml:space="preserve">. Por lo tanto, se recomienda evitar la asociación y no administrar </w:t>
      </w:r>
      <w:proofErr w:type="spellStart"/>
      <w:r>
        <w:t>Dextrormetorfano</w:t>
      </w:r>
      <w:proofErr w:type="spellEnd"/>
      <w:r>
        <w:t xml:space="preserve"> hasta pasados al menos 14 días del tratamiento con alguno de estos medicamentos.</w:t>
      </w:r>
    </w:p>
    <w:p w:rsidR="00615A1E" w:rsidRDefault="00615A1E" w:rsidP="00615A1E">
      <w:pPr>
        <w:pStyle w:val="NormalWeb"/>
      </w:pPr>
      <w:r>
        <w:t xml:space="preserve">Depresores del SNC incluyendo psicotrópicos, antihistamínicos, o medicamentos </w:t>
      </w:r>
      <w:proofErr w:type="spellStart"/>
      <w:r>
        <w:t>antiparkisonianos</w:t>
      </w:r>
      <w:proofErr w:type="spellEnd"/>
      <w:r>
        <w:t>: Posible potenciación de los efectos depresores sobre el SNC.</w:t>
      </w:r>
    </w:p>
    <w:p w:rsidR="00615A1E" w:rsidRDefault="00615A1E" w:rsidP="00615A1E">
      <w:pPr>
        <w:pStyle w:val="NormalWeb"/>
      </w:pPr>
      <w:r>
        <w:t xml:space="preserve">Expectorantes y </w:t>
      </w:r>
      <w:proofErr w:type="spellStart"/>
      <w:r>
        <w:t>Mucoliticos</w:t>
      </w:r>
      <w:proofErr w:type="spellEnd"/>
      <w:r>
        <w:t>: La inhibición del reflejo de la tos podrá dar lugar a una obstrucción pulmonar en caso de aumento del volumen o de la fluidez de las secreciones bronquiales.</w:t>
      </w:r>
    </w:p>
    <w:p w:rsidR="00615A1E" w:rsidRDefault="00615A1E" w:rsidP="00615A1E">
      <w:pPr>
        <w:pStyle w:val="NormalWeb"/>
      </w:pPr>
      <w:r>
        <w:t xml:space="preserve">Haloperidol: Como inhibe el </w:t>
      </w:r>
      <w:proofErr w:type="spellStart"/>
      <w:r>
        <w:t>isoenzima</w:t>
      </w:r>
      <w:proofErr w:type="spellEnd"/>
      <w:r>
        <w:t xml:space="preserve"> CYP2D6 puede incrementar los niveles plasmáticos de </w:t>
      </w:r>
      <w:proofErr w:type="spellStart"/>
      <w:r>
        <w:t>Dextrometorfano</w:t>
      </w:r>
      <w:proofErr w:type="spellEnd"/>
      <w:r>
        <w:t xml:space="preserve"> por lo que es probable una exacerbación de sus efectos adversos.</w:t>
      </w:r>
    </w:p>
    <w:p w:rsidR="00615A1E" w:rsidRDefault="00615A1E" w:rsidP="00615A1E">
      <w:pPr>
        <w:pStyle w:val="NormalWeb"/>
      </w:pPr>
      <w:r>
        <w:t xml:space="preserve">El consumo de alcohol durante el tratamiento con </w:t>
      </w:r>
      <w:proofErr w:type="spellStart"/>
      <w:r>
        <w:t>Dextrometorfano</w:t>
      </w:r>
      <w:proofErr w:type="spellEnd"/>
      <w:r>
        <w:t xml:space="preserve"> puede aumentar la aparición de reacciones adversas, por lo que no se deben ingerir bebidas alcohólicas durante el mismo.</w:t>
      </w:r>
    </w:p>
    <w:p w:rsidR="00615A1E" w:rsidRDefault="00615A1E" w:rsidP="00615A1E">
      <w:pPr>
        <w:pStyle w:val="NormalWeb"/>
      </w:pPr>
      <w:r>
        <w:t xml:space="preserve">No administrar conjuntamente con zumo de pomelo o naranja amarga, ya que pueden incrementar los niveles plasmáticos de </w:t>
      </w:r>
      <w:proofErr w:type="spellStart"/>
      <w:r>
        <w:t>Detrometorfano</w:t>
      </w:r>
      <w:proofErr w:type="spellEnd"/>
      <w:r>
        <w:t xml:space="preserve"> al actuar como inhibidores del citocromo P450 (CYP2D6 y CYP3A4).</w:t>
      </w:r>
    </w:p>
    <w:p w:rsidR="00615A1E" w:rsidRDefault="00615A1E" w:rsidP="00615A1E">
      <w:pPr>
        <w:pStyle w:val="NormalWeb"/>
      </w:pPr>
      <w:r>
        <w:t>SOBREDOSIFICACION:</w:t>
      </w:r>
    </w:p>
    <w:p w:rsidR="00615A1E" w:rsidRDefault="00615A1E" w:rsidP="00615A1E">
      <w:pPr>
        <w:pStyle w:val="NormalWeb"/>
      </w:pPr>
      <w:r>
        <w:t>Los signos de sobredosificación se manifiestan con confusión, excitabilidad, inquietud, nerviosismo o irritabilidad.</w:t>
      </w:r>
    </w:p>
    <w:p w:rsidR="00615A1E" w:rsidRDefault="00615A1E" w:rsidP="00615A1E">
      <w:pPr>
        <w:pStyle w:val="NormalWeb"/>
      </w:pPr>
      <w:r>
        <w:t>La ingestión accidental de dosis muy altas, puede producir en los niños un estado de sopor o letargo, alucinaciones, histeria, edema facial, excitabilidad, náuseas, vómitos o alteraciones en la forma de andar. El tratamiento es sintomático incluyendo la inducción del vómito y el lavado gástrico.</w:t>
      </w:r>
    </w:p>
    <w:p w:rsidR="00615A1E" w:rsidRDefault="00615A1E" w:rsidP="00615A1E">
      <w:pPr>
        <w:pStyle w:val="NormalWeb"/>
      </w:pPr>
      <w:r>
        <w:t xml:space="preserve">En caso de depresión respiratoria, administrar </w:t>
      </w:r>
      <w:proofErr w:type="spellStart"/>
      <w:r>
        <w:t>Naloxona</w:t>
      </w:r>
      <w:proofErr w:type="spellEnd"/>
      <w:r>
        <w:t xml:space="preserve"> y asistencial respiratoria. Si se producen </w:t>
      </w:r>
      <w:proofErr w:type="spellStart"/>
      <w:r>
        <w:t>convulciones</w:t>
      </w:r>
      <w:proofErr w:type="spellEnd"/>
      <w:r>
        <w:t xml:space="preserve">, administrar </w:t>
      </w:r>
      <w:proofErr w:type="spellStart"/>
      <w:r>
        <w:t>Benzodiazepinas</w:t>
      </w:r>
      <w:proofErr w:type="spellEnd"/>
      <w:r>
        <w:t xml:space="preserve"> por vía intravenosa o rectal, en función de la edad.</w:t>
      </w:r>
    </w:p>
    <w:p w:rsidR="00615A1E" w:rsidRDefault="00615A1E" w:rsidP="00615A1E">
      <w:pPr>
        <w:pStyle w:val="NormalWeb"/>
      </w:pPr>
      <w:r>
        <w:t>En caso de sobredosis o ingesta accidental, consultar al Servicio de Toxicología del Hospital de EMERGENCIAS MEDICAS Tel.: 220-418 o el 204-800 (</w:t>
      </w:r>
      <w:proofErr w:type="spellStart"/>
      <w:r>
        <w:t>int</w:t>
      </w:r>
      <w:proofErr w:type="spellEnd"/>
      <w:r>
        <w:t>. 011).</w:t>
      </w:r>
    </w:p>
    <w:p w:rsidR="00615A1E" w:rsidRDefault="00615A1E" w:rsidP="00615A1E">
      <w:pPr>
        <w:pStyle w:val="NormalWeb"/>
      </w:pPr>
      <w:r>
        <w:t>RESTRICCIONES DE USO:</w:t>
      </w:r>
    </w:p>
    <w:p w:rsidR="00615A1E" w:rsidRDefault="00615A1E" w:rsidP="00615A1E">
      <w:pPr>
        <w:pStyle w:val="NormalWeb"/>
      </w:pPr>
      <w:r>
        <w:t>No se recomienda su administración durante el embarazo, sobre todo en el primer trimestre del embarazo. Se restringe su uso durante la lactancia.</w:t>
      </w:r>
    </w:p>
    <w:p w:rsidR="00615A1E" w:rsidRDefault="00615A1E" w:rsidP="00615A1E">
      <w:pPr>
        <w:pStyle w:val="NormalWeb"/>
      </w:pPr>
      <w:r>
        <w:t>CONSERVACION:</w:t>
      </w:r>
    </w:p>
    <w:p w:rsidR="00615A1E" w:rsidRDefault="00615A1E" w:rsidP="00615A1E">
      <w:pPr>
        <w:pStyle w:val="NormalWeb"/>
      </w:pPr>
      <w:r>
        <w:t>Almacenar a temperatura entre 15° y 30 °C.</w:t>
      </w:r>
    </w:p>
    <w:p w:rsidR="00615A1E" w:rsidRDefault="00615A1E" w:rsidP="00615A1E">
      <w:pPr>
        <w:pStyle w:val="NormalWeb"/>
      </w:pPr>
      <w:r>
        <w:t>PRESENTACIONES:</w:t>
      </w:r>
    </w:p>
    <w:p w:rsidR="00615A1E" w:rsidRDefault="00615A1E" w:rsidP="00615A1E">
      <w:pPr>
        <w:pStyle w:val="NormalWeb"/>
      </w:pPr>
      <w:r>
        <w:t xml:space="preserve">Caja conteniendo 1 frasco por 100 </w:t>
      </w:r>
      <w:proofErr w:type="spellStart"/>
      <w:r>
        <w:t>mL</w:t>
      </w:r>
      <w:proofErr w:type="spellEnd"/>
      <w:r>
        <w:t>.</w:t>
      </w:r>
    </w:p>
    <w:p w:rsidR="00615A1E" w:rsidRDefault="00615A1E" w:rsidP="00615A1E">
      <w:pPr>
        <w:pStyle w:val="NormalWeb"/>
      </w:pPr>
      <w:r>
        <w:t>Caja conteniendo 20 comprimidos.</w:t>
      </w:r>
    </w:p>
    <w:p w:rsidR="00615A1E" w:rsidRDefault="00615A1E" w:rsidP="00615A1E">
      <w:pPr>
        <w:pStyle w:val="NormalWeb"/>
      </w:pPr>
      <w:r>
        <w:t>Este medicamento debe ser usado únicamente por prescripción médica y no podrá repetirse sin nueva indicación del facultativo.</w:t>
      </w:r>
    </w:p>
    <w:p w:rsidR="00615A1E" w:rsidRDefault="00615A1E" w:rsidP="00615A1E">
      <w:pPr>
        <w:pStyle w:val="NormalWeb"/>
      </w:pPr>
      <w:r>
        <w:t>En caso de uso de este medicamento sin prescripción médica, la ocurrencia de efectos adversos e indeseables será de exclusiva responsabilidad de quien lo consuma.</w:t>
      </w:r>
    </w:p>
    <w:p w:rsidR="00615A1E" w:rsidRDefault="00615A1E" w:rsidP="00615A1E">
      <w:pPr>
        <w:pStyle w:val="NormalWeb"/>
      </w:pPr>
      <w:r>
        <w:t>Si Ud. es deportista y está sometido a control de doping, no consuma este producto sin consultar a su médico.</w:t>
      </w:r>
    </w:p>
    <w:p w:rsidR="00615A1E" w:rsidRDefault="00615A1E" w:rsidP="00615A1E">
      <w:pPr>
        <w:pStyle w:val="NormalWeb"/>
      </w:pPr>
      <w:r>
        <w:t>Director Técnico: Q. F. Laura Ramírez - Reg. Prof. Nº 4.142</w:t>
      </w:r>
    </w:p>
    <w:p w:rsidR="00615A1E" w:rsidRDefault="00615A1E" w:rsidP="00615A1E">
      <w:pPr>
        <w:pStyle w:val="NormalWeb"/>
      </w:pPr>
      <w:r>
        <w:t>Autorizado por D.N.V.S. del M.S.P. y B.S.</w:t>
      </w:r>
    </w:p>
    <w:p w:rsidR="00A9011C" w:rsidRPr="00615A1E" w:rsidRDefault="00A9011C" w:rsidP="00615A1E">
      <w:bookmarkStart w:id="0" w:name="_GoBack"/>
      <w:bookmarkEnd w:id="0"/>
    </w:p>
    <w:sectPr w:rsidR="00A9011C" w:rsidRPr="00615A1E" w:rsidSect="00A90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BF"/>
    <w:rsid w:val="00011C60"/>
    <w:rsid w:val="00067670"/>
    <w:rsid w:val="00072F46"/>
    <w:rsid w:val="0009439F"/>
    <w:rsid w:val="000B0F5C"/>
    <w:rsid w:val="000C4E61"/>
    <w:rsid w:val="00156470"/>
    <w:rsid w:val="0017169E"/>
    <w:rsid w:val="001D0AF4"/>
    <w:rsid w:val="001F0CA4"/>
    <w:rsid w:val="00225276"/>
    <w:rsid w:val="00253CB2"/>
    <w:rsid w:val="00281481"/>
    <w:rsid w:val="00284A81"/>
    <w:rsid w:val="002B756A"/>
    <w:rsid w:val="002D7703"/>
    <w:rsid w:val="002F236D"/>
    <w:rsid w:val="002F5808"/>
    <w:rsid w:val="00327BE0"/>
    <w:rsid w:val="00396086"/>
    <w:rsid w:val="003C6430"/>
    <w:rsid w:val="003D406F"/>
    <w:rsid w:val="003F6B1E"/>
    <w:rsid w:val="00424175"/>
    <w:rsid w:val="004362A7"/>
    <w:rsid w:val="0048396F"/>
    <w:rsid w:val="004B3F2C"/>
    <w:rsid w:val="00502A25"/>
    <w:rsid w:val="00523E3C"/>
    <w:rsid w:val="0054013F"/>
    <w:rsid w:val="00552EFB"/>
    <w:rsid w:val="005D1962"/>
    <w:rsid w:val="00615A1E"/>
    <w:rsid w:val="006673B5"/>
    <w:rsid w:val="00681ABF"/>
    <w:rsid w:val="00682039"/>
    <w:rsid w:val="00844C9A"/>
    <w:rsid w:val="00855BA3"/>
    <w:rsid w:val="00876A05"/>
    <w:rsid w:val="008E3583"/>
    <w:rsid w:val="009218EF"/>
    <w:rsid w:val="009B1A8F"/>
    <w:rsid w:val="00A147ED"/>
    <w:rsid w:val="00A22581"/>
    <w:rsid w:val="00A25A47"/>
    <w:rsid w:val="00A366DE"/>
    <w:rsid w:val="00A9011C"/>
    <w:rsid w:val="00A968EC"/>
    <w:rsid w:val="00AF5E2E"/>
    <w:rsid w:val="00B01D7C"/>
    <w:rsid w:val="00B126F6"/>
    <w:rsid w:val="00B31B9E"/>
    <w:rsid w:val="00B5045E"/>
    <w:rsid w:val="00B57D9F"/>
    <w:rsid w:val="00BD1B75"/>
    <w:rsid w:val="00BD639B"/>
    <w:rsid w:val="00BD691D"/>
    <w:rsid w:val="00BE4F43"/>
    <w:rsid w:val="00C13605"/>
    <w:rsid w:val="00C435CE"/>
    <w:rsid w:val="00CB37E1"/>
    <w:rsid w:val="00CE610A"/>
    <w:rsid w:val="00D344A1"/>
    <w:rsid w:val="00D42B6B"/>
    <w:rsid w:val="00D45815"/>
    <w:rsid w:val="00D82977"/>
    <w:rsid w:val="00D82F3F"/>
    <w:rsid w:val="00DB0824"/>
    <w:rsid w:val="00DB1403"/>
    <w:rsid w:val="00E12158"/>
    <w:rsid w:val="00E24A06"/>
    <w:rsid w:val="00E54538"/>
    <w:rsid w:val="00E856D5"/>
    <w:rsid w:val="00EA7842"/>
    <w:rsid w:val="00EA78BE"/>
    <w:rsid w:val="00EB6963"/>
    <w:rsid w:val="00EC080D"/>
    <w:rsid w:val="00EC5EF1"/>
    <w:rsid w:val="00F40068"/>
    <w:rsid w:val="00F5385B"/>
    <w:rsid w:val="00F72641"/>
    <w:rsid w:val="00F81C88"/>
    <w:rsid w:val="00FD71ED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5828-B88A-480E-BBA4-7967A15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B31B9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2020-12-10T17:25:00Z</cp:lastPrinted>
  <dcterms:created xsi:type="dcterms:W3CDTF">2020-12-10T17:41:00Z</dcterms:created>
  <dcterms:modified xsi:type="dcterms:W3CDTF">2020-12-10T17:41:00Z</dcterms:modified>
</cp:coreProperties>
</file>