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9616" w14:textId="77777777" w:rsidR="00C32367" w:rsidRPr="00C3236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MANDRAX®</w:t>
      </w:r>
    </w:p>
    <w:p w14:paraId="18777E38" w14:textId="77777777" w:rsidR="00C32367" w:rsidRPr="00C3236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FOSFATO SÓDICO DE DEXAMETASONA + SULFATO DE NEOMICINA</w:t>
      </w:r>
    </w:p>
    <w:p w14:paraId="243087E2" w14:textId="736FD51C" w:rsidR="00F42D17" w:rsidRDefault="00C32367" w:rsidP="00C32367">
      <w:pPr>
        <w:spacing w:after="0"/>
        <w:jc w:val="both"/>
        <w:rPr>
          <w:b/>
          <w:sz w:val="30"/>
          <w:szCs w:val="30"/>
        </w:rPr>
      </w:pPr>
      <w:r w:rsidRPr="00C32367">
        <w:rPr>
          <w:b/>
          <w:sz w:val="30"/>
          <w:szCs w:val="30"/>
        </w:rPr>
        <w:t>MALEATO DE CLORFENIRAMINA + CLORHIDRATO DE NAFAZOLINA</w:t>
      </w:r>
    </w:p>
    <w:p w14:paraId="716512C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FORMULA:</w:t>
      </w:r>
    </w:p>
    <w:p w14:paraId="4D8DEB5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Cada 100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 xml:space="preserve"> contiene:</w:t>
      </w:r>
    </w:p>
    <w:p w14:paraId="19885636" w14:textId="588AC92A" w:rsid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Fosfato Sódico de Dexametasona…</w:t>
      </w:r>
      <w:proofErr w:type="gramStart"/>
      <w:r w:rsidRPr="00C32367">
        <w:rPr>
          <w:bCs/>
          <w:sz w:val="24"/>
          <w:szCs w:val="24"/>
        </w:rPr>
        <w:t>…....</w:t>
      </w:r>
      <w:proofErr w:type="gramEnd"/>
      <w:r w:rsidRPr="00C32367">
        <w:rPr>
          <w:bCs/>
          <w:sz w:val="24"/>
          <w:szCs w:val="24"/>
        </w:rPr>
        <w:t xml:space="preserve">…..…………5 mg Sulfato de Neomicina……………….….……….……500 mg Maleato de 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 xml:space="preserve">…........……..……………100 mg Clorhidrato de 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>………….…….…………..100 mg Excipientes………………………………………………</w:t>
      </w:r>
      <w:proofErr w:type="spellStart"/>
      <w:r w:rsidRPr="00C32367">
        <w:rPr>
          <w:bCs/>
          <w:sz w:val="24"/>
          <w:szCs w:val="24"/>
        </w:rPr>
        <w:t>c.s.p</w:t>
      </w:r>
      <w:proofErr w:type="spellEnd"/>
      <w:r w:rsidRPr="00C32367">
        <w:rPr>
          <w:bCs/>
          <w:sz w:val="24"/>
          <w:szCs w:val="24"/>
        </w:rPr>
        <w:t>.</w:t>
      </w:r>
    </w:p>
    <w:p w14:paraId="3D0A99CB" w14:textId="77777777" w:rsid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E67FD1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gramStart"/>
      <w:r w:rsidRPr="00C32367">
        <w:rPr>
          <w:bCs/>
          <w:sz w:val="24"/>
          <w:szCs w:val="24"/>
        </w:rPr>
        <w:t>ACCION  TERAPEUTICA</w:t>
      </w:r>
      <w:proofErr w:type="gramEnd"/>
      <w:r w:rsidRPr="00C32367">
        <w:rPr>
          <w:bCs/>
          <w:sz w:val="24"/>
          <w:szCs w:val="24"/>
        </w:rPr>
        <w:t>:</w:t>
      </w:r>
    </w:p>
    <w:p w14:paraId="66651E4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Antiinflamatorio, antialérgico, antibiótico, </w:t>
      </w:r>
      <w:proofErr w:type="spellStart"/>
      <w:r w:rsidRPr="00C32367">
        <w:rPr>
          <w:bCs/>
          <w:sz w:val="24"/>
          <w:szCs w:val="24"/>
        </w:rPr>
        <w:t>vasoconstructor</w:t>
      </w:r>
      <w:proofErr w:type="spellEnd"/>
      <w:r w:rsidRPr="00C32367">
        <w:rPr>
          <w:bCs/>
          <w:sz w:val="24"/>
          <w:szCs w:val="24"/>
        </w:rPr>
        <w:t xml:space="preserve"> de aplicación tópica en rinología. </w:t>
      </w:r>
    </w:p>
    <w:p w14:paraId="5046F86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Código ATC: R01AD53.</w:t>
      </w:r>
    </w:p>
    <w:p w14:paraId="4DB4A89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6B477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MECANISMO DE ACCION Y DATOS FARMACOCINETICOS:</w:t>
      </w:r>
    </w:p>
    <w:p w14:paraId="745A6B9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Mecanismo de Acción:</w:t>
      </w:r>
    </w:p>
    <w:p w14:paraId="4BDEF2E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>: los antihistamínicos actúan como antagonistas competitivos de la histamina. Se unen al receptor H1 impidiendo la activación de estos mediante histamina.</w:t>
      </w:r>
    </w:p>
    <w:p w14:paraId="431A2AD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Dexametasona: Este glucocorticoide atraviesa la membrana plasmática por su alta liposolubilidad, y forma un complejo receptor- glucocorticoide en el citoplasma, penetrando luego en el núcleo y actuando con receptores intranucleares. Interactúan con moléculas de ADN y modula la síntesis proteica. Como antiinflamatorio, inhibe la acumulación de células inflamatorias, incluyendo macrófagos y leucocitos, en las zonas de inflamación. Inhibe la fagocitosis, la liberación de enzimas lisosómicas y la síntesis o liberación de algunos mediadores químicos de la inflamación. Como inmunosupresor reduce la concentración de linfocitos dependientes del timo, monocitos y eosinófilos. Disminuye la unión de las inmunoglobulinas a los receptores celulares de superficie e inhibe la síntesis o liberación de interleucinas, y reduce la importancia de la respuesta inmune primaria. Estimula el catabolismo proteico e induce el mecanismo de los aminoácidos. </w:t>
      </w:r>
    </w:p>
    <w:p w14:paraId="5DEB460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Neomicina: los aminoglucósidos actúan alterando el ciclo ribosomal normal del germen (uniéndose a la subunidad 30S ribosomal), lo cual impide la correcta síntesis de proteínas en la bacteria.</w:t>
      </w:r>
    </w:p>
    <w:p w14:paraId="25EABAB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Propiedades Farmacocinéticas</w:t>
      </w:r>
    </w:p>
    <w:p w14:paraId="390A949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: Los antagonistas H1 tienen adecuada absorción oral y alcanzan las concentraciones máximas 2 horas luego de su administración. 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 xml:space="preserve"> y 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 tienen metabolismos de primer paso hepático.</w:t>
      </w:r>
    </w:p>
    <w:p w14:paraId="65F42E7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Dexametasona: Se absorbe rápidamente por vía oral y por completo por vía IM. Administrado por vía mucosa también se absorbe sistémicamente. Se metaboliza en el hígado en forma más lenta que otros corticoides. El 90% se une a proteínas. Se elimina principalmente mediante metabolismo por excreción renal de los metabolitos inactivos.</w:t>
      </w:r>
    </w:p>
    <w:p w14:paraId="63A7667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lastRenderedPageBreak/>
        <w:t>Neomicina: este aminoglucósido es absorbido escasamente en vía digestiva y excretada vía renal. A altas dosis puede acumularse en corteza renal y tejido cocleares. En la insuficiencia renal se altera la eliminación del fármaco.</w:t>
      </w:r>
    </w:p>
    <w:p w14:paraId="2813D2C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B890DE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INDICACIONES TERAPEUTICAS:</w:t>
      </w:r>
    </w:p>
    <w:p w14:paraId="73E838C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En rinología, para un alivio temporario de la congestión nasal.</w:t>
      </w:r>
    </w:p>
    <w:p w14:paraId="2ED80C6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3160B60B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CONTRAINDICACIONES:</w:t>
      </w:r>
    </w:p>
    <w:p w14:paraId="663489A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-Hipersensibilidad a uno de los principios activos, u otros aminoglucósidos o a algunos de los excipientes.</w:t>
      </w:r>
    </w:p>
    <w:p w14:paraId="0892AF3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-Glaucoma de ángulo estrecho.</w:t>
      </w:r>
    </w:p>
    <w:p w14:paraId="7E58334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Aminoglucósidos: No deben administrarse en pacientes con sordera por lesión nerviosa ni en pacientes con Miastenia </w:t>
      </w:r>
      <w:proofErr w:type="spellStart"/>
      <w:r w:rsidRPr="00C32367">
        <w:rPr>
          <w:bCs/>
          <w:sz w:val="24"/>
          <w:szCs w:val="24"/>
        </w:rPr>
        <w:t>Gravis</w:t>
      </w:r>
      <w:proofErr w:type="spellEnd"/>
      <w:r w:rsidRPr="00C32367">
        <w:rPr>
          <w:bCs/>
          <w:sz w:val="24"/>
          <w:szCs w:val="24"/>
        </w:rPr>
        <w:t>.</w:t>
      </w:r>
    </w:p>
    <w:p w14:paraId="18B53A3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B87F63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POSOLOGIA Y MODO DE USO:</w:t>
      </w:r>
    </w:p>
    <w:p w14:paraId="29FDCE2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Gotas:</w:t>
      </w:r>
    </w:p>
    <w:p w14:paraId="08DAD2A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Salvo indicación médica: instilar una o dos gotas en cada fosa nasal cada 6 horas</w:t>
      </w:r>
    </w:p>
    <w:p w14:paraId="4DCF859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Este medicamento no debe ser administrado por vía oral.</w:t>
      </w:r>
    </w:p>
    <w:p w14:paraId="2D44CB8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usar este producto por más de 3 días consecutivos, salvo indicación médica.</w:t>
      </w:r>
    </w:p>
    <w:p w14:paraId="43417D9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Spray:</w:t>
      </w:r>
    </w:p>
    <w:p w14:paraId="427C11D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Aplicar una vaporización (=1 dosis) en cada fosa nasal, cada 6 horas. Este medicamento no debe ser administrado por vía oral. No usar este producto por más de 3 días consecutivos, salvo indicación médica.</w:t>
      </w:r>
    </w:p>
    <w:p w14:paraId="2CC5A5A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Para una correcta aplicación del vaporizador se recomienda proceder de la siguiente manera:</w:t>
      </w:r>
    </w:p>
    <w:p w14:paraId="35718A4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1-Agitar el envase</w:t>
      </w:r>
    </w:p>
    <w:p w14:paraId="5FD2BAFB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2-Retirar la protección del cabezal</w:t>
      </w:r>
    </w:p>
    <w:p w14:paraId="325C0C5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3-Accionar la válvula dosificadora hasta observar un rocío uniforme</w:t>
      </w:r>
    </w:p>
    <w:p w14:paraId="1051772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4-Introducir el cabezal en una fosa nasal y accionar la válvula dosificadora</w:t>
      </w:r>
    </w:p>
    <w:p w14:paraId="205543C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5-Repetir la operación en la otra fosa nasal</w:t>
      </w:r>
    </w:p>
    <w:p w14:paraId="0215E1A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    6-Colocar nuevamente la protección del cabezal</w:t>
      </w:r>
    </w:p>
    <w:p w14:paraId="1C7E1AD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CD8377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DD3E7A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569F5D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D07FCD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67A7FA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47FACB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5112B9A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PRECAUCIONES Y ADVERTENCIAS:</w:t>
      </w:r>
    </w:p>
    <w:p w14:paraId="56694A8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La administración concurrente de antidepresivos tipo IMAO (puede producir crisis hipertensiva severa), niños menores de 7 años (pueden ocurrir sedación), e </w:t>
      </w:r>
      <w:proofErr w:type="gramStart"/>
      <w:r w:rsidRPr="00C32367">
        <w:rPr>
          <w:bCs/>
          <w:sz w:val="24"/>
          <w:szCs w:val="24"/>
        </w:rPr>
        <w:t>infecciones  virales</w:t>
      </w:r>
      <w:proofErr w:type="gramEnd"/>
      <w:r w:rsidRPr="00C32367">
        <w:rPr>
          <w:bCs/>
          <w:sz w:val="24"/>
          <w:szCs w:val="24"/>
        </w:rPr>
        <w:t xml:space="preserve">. No administrar por el método de remoción de </w:t>
      </w:r>
      <w:proofErr w:type="spellStart"/>
      <w:r w:rsidRPr="00C32367">
        <w:rPr>
          <w:bCs/>
          <w:sz w:val="24"/>
          <w:szCs w:val="24"/>
        </w:rPr>
        <w:t>Proetz</w:t>
      </w:r>
      <w:proofErr w:type="spellEnd"/>
      <w:r w:rsidRPr="00C32367">
        <w:rPr>
          <w:bCs/>
          <w:sz w:val="24"/>
          <w:szCs w:val="24"/>
        </w:rPr>
        <w:t xml:space="preserve">. </w:t>
      </w:r>
    </w:p>
    <w:p w14:paraId="205E125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El uso de este producto por más de una persona puede diseminar una infección.</w:t>
      </w:r>
    </w:p>
    <w:p w14:paraId="53F244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utilizar por tiempo prolongado por el riesgo de rebote y rinitis iatrogénica.</w:t>
      </w:r>
    </w:p>
    <w:p w14:paraId="103C06B3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lastRenderedPageBreak/>
        <w:t>A altas dosis se produce absorción sistémica del aminoglucósido (neomicina) produciendo ototoxicidad irreversible y lesión renal.</w:t>
      </w:r>
    </w:p>
    <w:p w14:paraId="69D9CD1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Debe usarse bajo control médico.</w:t>
      </w:r>
    </w:p>
    <w:p w14:paraId="639D60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Administrar con precaución en: enfermedad cardiaca, hipertensión arterial, enfermedad tiroidea, diabetes, hipertrofia de próstata.</w:t>
      </w:r>
    </w:p>
    <w:p w14:paraId="277D2F4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Se debe tener precauciones con el uso corticoides en pacientes inmunocomprometidos.</w:t>
      </w:r>
    </w:p>
    <w:p w14:paraId="088C4CA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Durante el uso de corticoides se necesita reducir el consumo de sal y pueden aumentar los requerimientos de hipoglucemiantes y/o insulina en pacientes diabéticos.</w:t>
      </w:r>
    </w:p>
    <w:p w14:paraId="0964840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Luego de un período de tratamiento, este no debe repetirse por lo menos antes de los tres meses.</w:t>
      </w:r>
    </w:p>
    <w:p w14:paraId="702A85B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En neonatos y lactantes, la absorción por la piel inmadura del niño puede verse exacerbada, por otro lado, la función renal puede ser inmadura. Al igual que con otras preparaciones </w:t>
      </w:r>
      <w:proofErr w:type="spellStart"/>
      <w:r w:rsidRPr="00C32367">
        <w:rPr>
          <w:bCs/>
          <w:sz w:val="24"/>
          <w:szCs w:val="24"/>
        </w:rPr>
        <w:t>antibacteriales</w:t>
      </w:r>
      <w:proofErr w:type="spellEnd"/>
      <w:r w:rsidRPr="00C32367">
        <w:rPr>
          <w:bCs/>
          <w:sz w:val="24"/>
          <w:szCs w:val="24"/>
        </w:rPr>
        <w:t>, el uso prolongado puede resultar en un crecimiento excesivo de organismos no susceptibles, incluido hongos.</w:t>
      </w:r>
    </w:p>
    <w:p w14:paraId="2A59AB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El uso prolongado puede causar una reacción de hipersensibilidad y/o absorción suficiente para la toxicidad sistémica.</w:t>
      </w:r>
    </w:p>
    <w:p w14:paraId="4D1559D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se recomienda la administración concurrente con otros aminoglucósidos.</w:t>
      </w:r>
    </w:p>
    <w:p w14:paraId="47246F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Advertencia sobre excipientes</w:t>
      </w:r>
    </w:p>
    <w:p w14:paraId="5BC7757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-</w:t>
      </w:r>
      <w:proofErr w:type="spellStart"/>
      <w:r w:rsidRPr="00C32367">
        <w:rPr>
          <w:bCs/>
          <w:sz w:val="24"/>
          <w:szCs w:val="24"/>
        </w:rPr>
        <w:t>Timerosal</w:t>
      </w:r>
      <w:proofErr w:type="spellEnd"/>
      <w:r w:rsidRPr="00C32367">
        <w:rPr>
          <w:bCs/>
          <w:sz w:val="24"/>
          <w:szCs w:val="24"/>
        </w:rPr>
        <w:t xml:space="preserve">: Este medicamento puede producir reacciones alérgicas porque contiene </w:t>
      </w:r>
      <w:proofErr w:type="spellStart"/>
      <w:r w:rsidRPr="00C32367">
        <w:rPr>
          <w:bCs/>
          <w:sz w:val="24"/>
          <w:szCs w:val="24"/>
        </w:rPr>
        <w:t>Timerosal</w:t>
      </w:r>
      <w:proofErr w:type="spellEnd"/>
      <w:r w:rsidRPr="00C32367">
        <w:rPr>
          <w:bCs/>
          <w:sz w:val="24"/>
          <w:szCs w:val="24"/>
        </w:rPr>
        <w:t>.</w:t>
      </w:r>
    </w:p>
    <w:p w14:paraId="0DF320F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344746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REACCIONES ADVERSAS Y EFECTOS COLATERALES:</w:t>
      </w:r>
    </w:p>
    <w:p w14:paraId="34336B7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Los antihistamínicos (</w:t>
      </w:r>
      <w:proofErr w:type="spellStart"/>
      <w:r w:rsidRPr="00C32367">
        <w:rPr>
          <w:bCs/>
          <w:sz w:val="24"/>
          <w:szCs w:val="24"/>
        </w:rPr>
        <w:t>Clorfeniramina</w:t>
      </w:r>
      <w:proofErr w:type="spellEnd"/>
      <w:r w:rsidRPr="00C32367">
        <w:rPr>
          <w:bCs/>
          <w:sz w:val="24"/>
          <w:szCs w:val="24"/>
        </w:rPr>
        <w:t>/</w:t>
      </w:r>
      <w:proofErr w:type="spellStart"/>
      <w:r w:rsidRPr="00C32367">
        <w:rPr>
          <w:bCs/>
          <w:sz w:val="24"/>
          <w:szCs w:val="24"/>
        </w:rPr>
        <w:t>Nafazolina</w:t>
      </w:r>
      <w:proofErr w:type="spellEnd"/>
      <w:r w:rsidRPr="00C32367">
        <w:rPr>
          <w:bCs/>
          <w:sz w:val="24"/>
          <w:szCs w:val="24"/>
        </w:rPr>
        <w:t xml:space="preserve">): producen aumento de la presión intraocular, dilatación </w:t>
      </w:r>
      <w:proofErr w:type="spellStart"/>
      <w:r w:rsidRPr="00C32367">
        <w:rPr>
          <w:bCs/>
          <w:sz w:val="24"/>
          <w:szCs w:val="24"/>
        </w:rPr>
        <w:t>pulilar</w:t>
      </w:r>
      <w:proofErr w:type="spellEnd"/>
      <w:r w:rsidRPr="00C32367">
        <w:rPr>
          <w:bCs/>
          <w:sz w:val="24"/>
          <w:szCs w:val="24"/>
        </w:rPr>
        <w:t xml:space="preserve">, efectos sistémicos debido a absorción. Algunos pacientes pueden experimentar somnolencia, cefalea y palpitaciones. Hipersensibilidad. </w:t>
      </w:r>
    </w:p>
    <w:p w14:paraId="33AF77D9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Aminoglucósidos (neomicina): ototoxicidad que puede manifestarse por sordera permanente parcial. Sordera permanente total. Nefrotoxicidad. </w:t>
      </w:r>
    </w:p>
    <w:p w14:paraId="6D9586B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Corticosteroides intranasales: Podría aparecer hiperactividad motora, ansiedad, agresión, cambios conductuales principalmente en niños.  </w:t>
      </w:r>
    </w:p>
    <w:p w14:paraId="1C5DEDE1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Pueden ocurrir efectos sistémicos con el uso de corticosteroides, particularmente a altas dosis y durante periodos prolongados. Estos efectos suelen ocurrir con menor frecuencia que con corticosteroides orales y pueden variar entre pacientes y entre distintas preparaciones de corticosteroides. Los efectos sistémicos potenciales incluyen Síndrome de Cushing, supresión adrenal, crecimiento tardío en niños y adolescentes, cataratas, glaucoma y con menor frecuencia, una variedad de efectos psicológicos o de comportamiento entre los que incluye hiperactividad psicomotora, trastornos del sueño, ansiedad, depresión o agresión (particularmente en niños).</w:t>
      </w:r>
    </w:p>
    <w:p w14:paraId="5A7B8AA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Pueden ocurrir efectos sistémicos con el uso de corticosteroides, particularmente a altas dosis y durante periodos prolongados.</w:t>
      </w:r>
    </w:p>
    <w:p w14:paraId="5083388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Uso pediátrico; Se puede presentar casos de crecimiento tardío en niños que reciben corticosteroides nasales.</w:t>
      </w:r>
    </w:p>
    <w:p w14:paraId="551C89A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Notificación de sospechas de reacciones adversas:</w:t>
      </w:r>
    </w:p>
    <w:p w14:paraId="42D9BA1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Es importante notificar sospechas de reacciones adversas al medicamento tras su autorización. Ello permite una supervisión continuada de la relación beneficio/riesgo del </w:t>
      </w:r>
      <w:r w:rsidRPr="00C32367">
        <w:rPr>
          <w:bCs/>
          <w:sz w:val="24"/>
          <w:szCs w:val="24"/>
        </w:rPr>
        <w:lastRenderedPageBreak/>
        <w:t>medicamento. Se invita a los profesionales sanitarios a notificar las sospechas de reacciones adversas a través del Sistema de Farmacovigilancia: farmacovigilancia@quimfa.com.py</w:t>
      </w:r>
    </w:p>
    <w:p w14:paraId="35C5BA5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7D8A39E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INTERACCIONES CON MEDICAMENTOS Y ALIMENTOS:</w:t>
      </w:r>
    </w:p>
    <w:p w14:paraId="3ADB2EE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La neomicina puede potenciar el efecto anticoagulante de la </w:t>
      </w:r>
      <w:proofErr w:type="spellStart"/>
      <w:r w:rsidRPr="00C32367">
        <w:rPr>
          <w:bCs/>
          <w:sz w:val="24"/>
          <w:szCs w:val="24"/>
        </w:rPr>
        <w:t>warfarina</w:t>
      </w:r>
      <w:proofErr w:type="spellEnd"/>
      <w:r w:rsidRPr="00C32367">
        <w:rPr>
          <w:bCs/>
          <w:sz w:val="24"/>
          <w:szCs w:val="24"/>
        </w:rPr>
        <w:t xml:space="preserve"> y potenciar efecto del bloqueo neuromuscular de Curare</w:t>
      </w:r>
    </w:p>
    <w:p w14:paraId="05A3166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La vancomicina puede potenciar la ototoxicidad de la neomicina.</w:t>
      </w:r>
    </w:p>
    <w:p w14:paraId="5C9E657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No es compatible con otros aminoglucósidos.</w:t>
      </w:r>
    </w:p>
    <w:p w14:paraId="43A8A64F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3800F12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SOBREDOSIFICACION:</w:t>
      </w:r>
    </w:p>
    <w:p w14:paraId="172F3CF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Una sobredosificación se manifiesta, especialmente en niños, como: hipotermia, depresión del SNC, coma o depresión respiratoria, bradicardia, alteraciones de la glucemia. En caso de sobredosis o ingestión accidental, consultar al Servicio de Toxicología del Hospital de EMERGENCIAS </w:t>
      </w:r>
      <w:proofErr w:type="gramStart"/>
      <w:r w:rsidRPr="00C32367">
        <w:rPr>
          <w:bCs/>
          <w:sz w:val="24"/>
          <w:szCs w:val="24"/>
        </w:rPr>
        <w:t>MEDICAS  Tel.</w:t>
      </w:r>
      <w:proofErr w:type="gramEnd"/>
      <w:r w:rsidRPr="00C32367">
        <w:rPr>
          <w:bCs/>
          <w:sz w:val="24"/>
          <w:szCs w:val="24"/>
        </w:rPr>
        <w:t>: 220-418 o el 204-800 (</w:t>
      </w:r>
      <w:proofErr w:type="spellStart"/>
      <w:r w:rsidRPr="00C32367">
        <w:rPr>
          <w:bCs/>
          <w:sz w:val="24"/>
          <w:szCs w:val="24"/>
        </w:rPr>
        <w:t>int</w:t>
      </w:r>
      <w:proofErr w:type="spellEnd"/>
      <w:r w:rsidRPr="00C32367">
        <w:rPr>
          <w:bCs/>
          <w:sz w:val="24"/>
          <w:szCs w:val="24"/>
        </w:rPr>
        <w:t>. 011).</w:t>
      </w:r>
    </w:p>
    <w:p w14:paraId="0A423ECD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2A6FF00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RESTRICCIONES DE USO:</w:t>
      </w:r>
    </w:p>
    <w:p w14:paraId="23570C50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Embarazo y lactancia: debido a que no existen estudios controlados, solo debe administrarse en estas condiciones luego de evaluar la relación riesgo-beneficio. Los corticoides tienen paso a leche materna. Aquellos infantes que hayan sido expuestos a importantes cantidades de esteroides durante el embarazo deberán ser monitorizados para </w:t>
      </w:r>
      <w:proofErr w:type="spellStart"/>
      <w:r w:rsidRPr="00C32367">
        <w:rPr>
          <w:bCs/>
          <w:sz w:val="24"/>
          <w:szCs w:val="24"/>
        </w:rPr>
        <w:t>hipoadrenalismo</w:t>
      </w:r>
      <w:proofErr w:type="spellEnd"/>
      <w:r w:rsidRPr="00C32367">
        <w:rPr>
          <w:bCs/>
          <w:sz w:val="24"/>
          <w:szCs w:val="24"/>
        </w:rPr>
        <w:t>.</w:t>
      </w:r>
    </w:p>
    <w:p w14:paraId="5D802A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8EBA81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CONSERVACION:</w:t>
      </w:r>
    </w:p>
    <w:p w14:paraId="239BBB7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Almacenar a temperatura entre 15° y 30°C</w:t>
      </w:r>
    </w:p>
    <w:p w14:paraId="28749B6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C7A94F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PRESENTACION: </w:t>
      </w:r>
    </w:p>
    <w:p w14:paraId="25B17357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-Caja conteniendo 1 frasco con 30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>.</w:t>
      </w:r>
    </w:p>
    <w:p w14:paraId="23A29F82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-Paquete de 100 cajas conteniendo 1 frasco con 30 </w:t>
      </w:r>
      <w:proofErr w:type="spellStart"/>
      <w:r w:rsidRPr="00C32367">
        <w:rPr>
          <w:bCs/>
          <w:sz w:val="24"/>
          <w:szCs w:val="24"/>
        </w:rPr>
        <w:t>mL</w:t>
      </w:r>
      <w:proofErr w:type="spellEnd"/>
      <w:r w:rsidRPr="00C32367">
        <w:rPr>
          <w:bCs/>
          <w:sz w:val="24"/>
          <w:szCs w:val="24"/>
        </w:rPr>
        <w:t>. (Presentación Hospitalaria)</w:t>
      </w:r>
    </w:p>
    <w:p w14:paraId="30CDFBF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Estos medicamentos deben ser utilizados únicamente por prescripción médica y no podrán repetirse sin nueva indicación del facultativo.</w:t>
      </w:r>
    </w:p>
    <w:p w14:paraId="69482658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En caso de uso de estos medicamentos sin prescripción médica, la ocurrencia de efectos adversos e indeseables será de exclusiva responsabilidad de quién lo consuma.</w:t>
      </w:r>
    </w:p>
    <w:p w14:paraId="0FF3E23A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1A3A7FE6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Si Ud. es deportista y está sometido a control de doping, no consuma estos productos sin consultar a su médico.</w:t>
      </w:r>
    </w:p>
    <w:p w14:paraId="51495034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0496B6D5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Director Técnico: Q.F. Laura Ramírez </w:t>
      </w:r>
    </w:p>
    <w:p w14:paraId="24F0B7FC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 xml:space="preserve">Reg. Profesional </w:t>
      </w:r>
      <w:proofErr w:type="spellStart"/>
      <w:r w:rsidRPr="00C32367">
        <w:rPr>
          <w:bCs/>
          <w:sz w:val="24"/>
          <w:szCs w:val="24"/>
        </w:rPr>
        <w:t>Nº</w:t>
      </w:r>
      <w:proofErr w:type="spellEnd"/>
      <w:r w:rsidRPr="00C32367">
        <w:rPr>
          <w:bCs/>
          <w:sz w:val="24"/>
          <w:szCs w:val="24"/>
        </w:rPr>
        <w:t>.: 4.142</w:t>
      </w:r>
    </w:p>
    <w:p w14:paraId="41CF17A3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Autorizado por D.N.V.S.</w:t>
      </w:r>
    </w:p>
    <w:p w14:paraId="40CAA0EE" w14:textId="77777777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</w:p>
    <w:p w14:paraId="4ED90D39" w14:textId="388CA6B3" w:rsidR="00C32367" w:rsidRPr="00C32367" w:rsidRDefault="00C32367" w:rsidP="00C32367">
      <w:pPr>
        <w:spacing w:after="0"/>
        <w:jc w:val="both"/>
        <w:rPr>
          <w:bCs/>
          <w:sz w:val="24"/>
          <w:szCs w:val="24"/>
        </w:rPr>
      </w:pPr>
      <w:r w:rsidRPr="00C32367">
        <w:rPr>
          <w:bCs/>
          <w:sz w:val="24"/>
          <w:szCs w:val="24"/>
        </w:rPr>
        <w:t>MANTENER FUERA DEL ALCANCE DE LOS NIÑOS</w:t>
      </w:r>
    </w:p>
    <w:sectPr w:rsidR="00C32367" w:rsidRPr="00C32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370"/>
    <w:multiLevelType w:val="hybridMultilevel"/>
    <w:tmpl w:val="43F68880"/>
    <w:lvl w:ilvl="0" w:tplc="0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5254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C"/>
    <w:rsid w:val="00016D5C"/>
    <w:rsid w:val="00045377"/>
    <w:rsid w:val="00096099"/>
    <w:rsid w:val="000B0F79"/>
    <w:rsid w:val="000C45C3"/>
    <w:rsid w:val="001562FC"/>
    <w:rsid w:val="001634A1"/>
    <w:rsid w:val="002305EC"/>
    <w:rsid w:val="00272258"/>
    <w:rsid w:val="00354630"/>
    <w:rsid w:val="00417D44"/>
    <w:rsid w:val="0046189A"/>
    <w:rsid w:val="00473AC7"/>
    <w:rsid w:val="004F1D86"/>
    <w:rsid w:val="00682073"/>
    <w:rsid w:val="00703951"/>
    <w:rsid w:val="00715CF2"/>
    <w:rsid w:val="007166E3"/>
    <w:rsid w:val="008E1DA7"/>
    <w:rsid w:val="00A10586"/>
    <w:rsid w:val="00A1522F"/>
    <w:rsid w:val="00A93C14"/>
    <w:rsid w:val="00AE5221"/>
    <w:rsid w:val="00B03591"/>
    <w:rsid w:val="00B61E7F"/>
    <w:rsid w:val="00C05729"/>
    <w:rsid w:val="00C32367"/>
    <w:rsid w:val="00CE1213"/>
    <w:rsid w:val="00DA11A8"/>
    <w:rsid w:val="00E247E3"/>
    <w:rsid w:val="00E3042C"/>
    <w:rsid w:val="00EA7801"/>
    <w:rsid w:val="00F42D17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D443"/>
  <w15:chartTrackingRefBased/>
  <w15:docId w15:val="{3FC934C4-AF06-4CA5-9404-6F06D755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37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72258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72258"/>
    <w:pPr>
      <w:spacing w:after="200" w:line="276" w:lineRule="auto"/>
      <w:ind w:left="720"/>
      <w:contextualSpacing/>
    </w:pPr>
    <w:rPr>
      <w:lang w:val="es-ES"/>
    </w:rPr>
  </w:style>
  <w:style w:type="paragraph" w:customStyle="1" w:styleId="Textoindependiente21">
    <w:name w:val="Texto independiente 21"/>
    <w:basedOn w:val="Normal"/>
    <w:rsid w:val="00272258"/>
    <w:pPr>
      <w:overflowPunct w:val="0"/>
      <w:autoSpaceDE w:val="0"/>
      <w:autoSpaceDN w:val="0"/>
      <w:adjustRightInd w:val="0"/>
      <w:spacing w:after="0" w:line="240" w:lineRule="auto"/>
      <w:ind w:left="142"/>
      <w:jc w:val="both"/>
      <w:textAlignment w:val="baseline"/>
    </w:pPr>
    <w:rPr>
      <w:rFonts w:ascii="Arial" w:eastAsia="Times New Roman" w:hAnsi="Arial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2</cp:revision>
  <cp:lastPrinted>2018-09-04T14:00:00Z</cp:lastPrinted>
  <dcterms:created xsi:type="dcterms:W3CDTF">2023-05-04T14:25:00Z</dcterms:created>
  <dcterms:modified xsi:type="dcterms:W3CDTF">2023-05-04T14:25:00Z</dcterms:modified>
</cp:coreProperties>
</file>