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E8" w:rsidRDefault="009C4AE8" w:rsidP="009C4AE8">
      <w:pPr>
        <w:pStyle w:val="NormalWeb"/>
      </w:pPr>
      <w:r>
        <w:t>BRONCOTOS®NF EXPECTORANTE</w:t>
      </w:r>
    </w:p>
    <w:p w:rsidR="009C4AE8" w:rsidRDefault="009C4AE8" w:rsidP="009C4AE8">
      <w:pPr>
        <w:pStyle w:val="NormalWeb"/>
      </w:pPr>
      <w:r>
        <w:t>DEXTROMETORFANO - GUAIFENESINA</w:t>
      </w:r>
    </w:p>
    <w:p w:rsidR="009C4AE8" w:rsidRDefault="009C4AE8" w:rsidP="009C4AE8">
      <w:pPr>
        <w:pStyle w:val="NormalWeb"/>
      </w:pPr>
      <w:r>
        <w:t>Venta Bajo Receta Jarabe</w:t>
      </w:r>
    </w:p>
    <w:p w:rsidR="009C4AE8" w:rsidRDefault="009C4AE8" w:rsidP="009C4AE8">
      <w:pPr>
        <w:pStyle w:val="NormalWeb"/>
      </w:pPr>
      <w:r>
        <w:t>Industria Paraguaya V.A.: Oral</w:t>
      </w:r>
    </w:p>
    <w:p w:rsidR="009C4AE8" w:rsidRDefault="009C4AE8" w:rsidP="009C4AE8">
      <w:pPr>
        <w:pStyle w:val="NormalWeb"/>
      </w:pPr>
      <w:r>
        <w:t>FORMULA:</w:t>
      </w:r>
    </w:p>
    <w:p w:rsidR="009C4AE8" w:rsidRDefault="009C4AE8" w:rsidP="009C4AE8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9C4AE8" w:rsidRDefault="009C4AE8" w:rsidP="009C4AE8">
      <w:pPr>
        <w:pStyle w:val="NormalWeb"/>
      </w:pPr>
      <w:proofErr w:type="spellStart"/>
      <w:r>
        <w:t>Dextrometorfano</w:t>
      </w:r>
      <w:proofErr w:type="spellEnd"/>
      <w:r>
        <w:t xml:space="preserve"> Bromhidrato......................................................................................2 mg.</w:t>
      </w:r>
    </w:p>
    <w:p w:rsidR="009C4AE8" w:rsidRDefault="009C4AE8" w:rsidP="009C4AE8">
      <w:pPr>
        <w:pStyle w:val="NormalWeb"/>
      </w:pPr>
      <w:r>
        <w:t>Guaifenesina…...........................................................................................................20 mg.</w:t>
      </w:r>
    </w:p>
    <w:p w:rsidR="009C4AE8" w:rsidRDefault="009C4AE8" w:rsidP="009C4AE8">
      <w:pPr>
        <w:pStyle w:val="NormalWeb"/>
      </w:pPr>
      <w:r>
        <w:t>Excipientes.....................................................................................................................c.s.p.</w:t>
      </w:r>
    </w:p>
    <w:p w:rsidR="009C4AE8" w:rsidRDefault="009C4AE8" w:rsidP="009C4AE8">
      <w:pPr>
        <w:pStyle w:val="NormalWeb"/>
      </w:pPr>
      <w:r>
        <w:t>No Contiene Azúcar</w:t>
      </w:r>
    </w:p>
    <w:p w:rsidR="009C4AE8" w:rsidRDefault="009C4AE8" w:rsidP="009C4AE8">
      <w:pPr>
        <w:pStyle w:val="NormalWeb"/>
      </w:pPr>
      <w:r>
        <w:t>ACCION TERAPEUTICA:</w:t>
      </w:r>
    </w:p>
    <w:p w:rsidR="009C4AE8" w:rsidRDefault="009C4AE8" w:rsidP="009C4AE8">
      <w:pPr>
        <w:pStyle w:val="NormalWeb"/>
      </w:pPr>
      <w:proofErr w:type="spellStart"/>
      <w:r>
        <w:t>Antitusivo</w:t>
      </w:r>
      <w:proofErr w:type="spellEnd"/>
      <w:r>
        <w:t xml:space="preserve"> - Expectorante.</w:t>
      </w:r>
    </w:p>
    <w:p w:rsidR="009C4AE8" w:rsidRDefault="009C4AE8" w:rsidP="009C4AE8">
      <w:pPr>
        <w:pStyle w:val="NormalWeb"/>
      </w:pPr>
      <w:r>
        <w:t>MECANISMO DE ACCION Y DATOS FARMACOCINETICOS:</w:t>
      </w:r>
    </w:p>
    <w:p w:rsidR="009C4AE8" w:rsidRDefault="009C4AE8" w:rsidP="009C4AE8">
      <w:pPr>
        <w:pStyle w:val="NormalWeb"/>
      </w:pPr>
      <w:r>
        <w:t xml:space="preserve">Propiedades </w:t>
      </w:r>
      <w:proofErr w:type="spellStart"/>
      <w:r>
        <w:t>farmacodinámicas</w:t>
      </w:r>
      <w:proofErr w:type="spellEnd"/>
      <w:r>
        <w:t xml:space="preserve"> </w:t>
      </w:r>
    </w:p>
    <w:p w:rsidR="009C4AE8" w:rsidRDefault="009C4AE8" w:rsidP="009C4AE8">
      <w:pPr>
        <w:pStyle w:val="NormalWeb"/>
      </w:pPr>
      <w:r>
        <w:t xml:space="preserve">Grupo </w:t>
      </w:r>
      <w:proofErr w:type="spellStart"/>
      <w:r>
        <w:t>farmacoterapéutico</w:t>
      </w:r>
      <w:proofErr w:type="spellEnd"/>
      <w:r>
        <w:t>:</w:t>
      </w:r>
    </w:p>
    <w:p w:rsidR="009C4AE8" w:rsidRDefault="009C4AE8" w:rsidP="009C4AE8">
      <w:pPr>
        <w:pStyle w:val="NormalWeb"/>
      </w:pPr>
      <w:r>
        <w:t xml:space="preserve">Combinaciones de supresores de la tos y expectorantes. Derivados del opio y expectorantes. Código ATC: R05F A 02. </w:t>
      </w:r>
    </w:p>
    <w:p w:rsidR="009C4AE8" w:rsidRDefault="009C4AE8" w:rsidP="009C4AE8">
      <w:pPr>
        <w:pStyle w:val="NormalWeb"/>
      </w:pPr>
      <w:r>
        <w:t xml:space="preserve">Este medicamento es una asociación de </w:t>
      </w:r>
      <w:proofErr w:type="spellStart"/>
      <w:r>
        <w:t>Dextrometorfano</w:t>
      </w:r>
      <w:proofErr w:type="spellEnd"/>
      <w:r>
        <w:t xml:space="preserve"> </w:t>
      </w:r>
      <w:proofErr w:type="spellStart"/>
      <w:r>
        <w:t>hidrobromuro</w:t>
      </w:r>
      <w:proofErr w:type="spellEnd"/>
      <w:r>
        <w:t xml:space="preserve"> (</w:t>
      </w:r>
      <w:proofErr w:type="spellStart"/>
      <w:r>
        <w:t>antitusivo</w:t>
      </w:r>
      <w:proofErr w:type="spellEnd"/>
      <w:r>
        <w:t xml:space="preserve">) y de </w:t>
      </w:r>
      <w:proofErr w:type="spellStart"/>
      <w:r>
        <w:t>Guaifenesina</w:t>
      </w:r>
      <w:proofErr w:type="spellEnd"/>
      <w:r>
        <w:t xml:space="preserve"> (expectorante). </w:t>
      </w:r>
    </w:p>
    <w:p w:rsidR="009C4AE8" w:rsidRDefault="009C4AE8" w:rsidP="009C4AE8">
      <w:pPr>
        <w:pStyle w:val="NormalWeb"/>
      </w:pPr>
      <w:r>
        <w:t xml:space="preserve">Los ensayos clínicos disponibles indican que no se producen interacciones farmacocinéticas entre ambos principios activos al administrarlos conjuntamente. </w:t>
      </w:r>
    </w:p>
    <w:p w:rsidR="009C4AE8" w:rsidRDefault="009C4AE8" w:rsidP="009C4AE8">
      <w:pPr>
        <w:pStyle w:val="NormalWeb"/>
      </w:pPr>
      <w:proofErr w:type="spellStart"/>
      <w:r>
        <w:t>Dextrometorfano</w:t>
      </w:r>
      <w:proofErr w:type="spellEnd"/>
      <w:r>
        <w:t>:</w:t>
      </w:r>
    </w:p>
    <w:p w:rsidR="009C4AE8" w:rsidRDefault="009C4AE8" w:rsidP="009C4AE8">
      <w:pPr>
        <w:pStyle w:val="NormalWeb"/>
      </w:pPr>
      <w:r>
        <w:t xml:space="preserve">El </w:t>
      </w:r>
      <w:proofErr w:type="spellStart"/>
      <w:r>
        <w:t>Dextrometorfano</w:t>
      </w:r>
      <w:proofErr w:type="spellEnd"/>
      <w:r>
        <w:t xml:space="preserve"> es el isómero dextro del </w:t>
      </w:r>
      <w:proofErr w:type="spellStart"/>
      <w:r>
        <w:t>levorfanol</w:t>
      </w:r>
      <w:proofErr w:type="spellEnd"/>
      <w:r>
        <w:t xml:space="preserve">, un análogo de codeína. Actúa a nivel central, produciendo la depresión del centro medular de la tos al disminuir la producción de </w:t>
      </w:r>
      <w:proofErr w:type="spellStart"/>
      <w:r>
        <w:t>taquicininas</w:t>
      </w:r>
      <w:proofErr w:type="spellEnd"/>
      <w:r>
        <w:t xml:space="preserve">, los principales neurotransmisores de las fibras C, que constituyen dicho centro de control. Se desconoce cómo ejerce dicho efecto. Presenta un efecto </w:t>
      </w:r>
      <w:proofErr w:type="spellStart"/>
      <w:r>
        <w:t>antitusivo</w:t>
      </w:r>
      <w:proofErr w:type="spellEnd"/>
      <w:r>
        <w:t xml:space="preserve"> similar al de la codeína, pero al contrario que ésta, carece de efectos narcóticos y sobre el sistema respiratorio. </w:t>
      </w:r>
    </w:p>
    <w:p w:rsidR="009C4AE8" w:rsidRDefault="009C4AE8" w:rsidP="009C4AE8">
      <w:pPr>
        <w:pStyle w:val="NormalWeb"/>
      </w:pPr>
      <w:proofErr w:type="spellStart"/>
      <w:r>
        <w:t>Guaifenesina</w:t>
      </w:r>
      <w:proofErr w:type="spellEnd"/>
      <w:r>
        <w:t xml:space="preserve">: </w:t>
      </w:r>
    </w:p>
    <w:p w:rsidR="009C4AE8" w:rsidRDefault="009C4AE8" w:rsidP="009C4AE8">
      <w:pPr>
        <w:pStyle w:val="NormalWeb"/>
      </w:pPr>
      <w:r>
        <w:t xml:space="preserve">La </w:t>
      </w:r>
      <w:proofErr w:type="spellStart"/>
      <w:r>
        <w:t>Guaifenesina</w:t>
      </w:r>
      <w:proofErr w:type="spellEnd"/>
      <w:r>
        <w:t xml:space="preserve"> es un expectorante que actúa reduciendo la viscosidad de las secreciones y facilitando la expectoración. El beneficio principal de la </w:t>
      </w:r>
      <w:proofErr w:type="spellStart"/>
      <w:r>
        <w:t>Guaifenesina</w:t>
      </w:r>
      <w:proofErr w:type="spellEnd"/>
      <w:r>
        <w:t xml:space="preserve"> en el tratamiento sintomático de la tos se debe a la capacidad del fármaco para ablandar el esputo y las secreciones bronquiales y facilitar la expectoración. Aunque estos efectos sobre la evacuación de las secreciones pueden disminuir indirectamente la tendencia a la tos, el mecanismo de acción de la </w:t>
      </w:r>
      <w:proofErr w:type="spellStart"/>
      <w:r>
        <w:t>Guaifenesina</w:t>
      </w:r>
      <w:proofErr w:type="spellEnd"/>
      <w:r>
        <w:t xml:space="preserve"> es independiente de los fármacos </w:t>
      </w:r>
      <w:proofErr w:type="spellStart"/>
      <w:r>
        <w:t>antitusivos</w:t>
      </w:r>
      <w:proofErr w:type="spellEnd"/>
      <w:r>
        <w:t xml:space="preserve"> que actúan directamente en el centro de la tos. </w:t>
      </w:r>
    </w:p>
    <w:p w:rsidR="009C4AE8" w:rsidRDefault="009C4AE8" w:rsidP="009C4AE8">
      <w:pPr>
        <w:pStyle w:val="NormalWeb"/>
      </w:pPr>
      <w:r>
        <w:t xml:space="preserve">Además de la eficacia en el tratamiento de la tos productiva, los efectos de la </w:t>
      </w:r>
      <w:proofErr w:type="spellStart"/>
      <w:r>
        <w:t>Guaifenesina</w:t>
      </w:r>
      <w:proofErr w:type="spellEnd"/>
      <w:r>
        <w:t xml:space="preserve"> sobre la producción, viscosidad del esputo y sobre la facilidad de expectoración, sugieren que el fármaco es igualmente efectivo en el tratamiento de la tos irritativa o no productiva y la tos productiva de cantidades reducidas de secreciones consistentes. </w:t>
      </w:r>
    </w:p>
    <w:p w:rsidR="009C4AE8" w:rsidRDefault="009C4AE8" w:rsidP="009C4AE8">
      <w:pPr>
        <w:pStyle w:val="NormalWeb"/>
      </w:pPr>
      <w:r>
        <w:t xml:space="preserve">Propiedades farmacocinéticas </w:t>
      </w:r>
    </w:p>
    <w:p w:rsidR="009C4AE8" w:rsidRDefault="009C4AE8" w:rsidP="009C4AE8">
      <w:pPr>
        <w:pStyle w:val="NormalWeb"/>
      </w:pPr>
      <w:proofErr w:type="spellStart"/>
      <w:r>
        <w:t>Dextrometorfano</w:t>
      </w:r>
      <w:proofErr w:type="spellEnd"/>
      <w:r>
        <w:t xml:space="preserve">: </w:t>
      </w:r>
    </w:p>
    <w:p w:rsidR="009C4AE8" w:rsidRDefault="009C4AE8" w:rsidP="009C4AE8">
      <w:pPr>
        <w:pStyle w:val="NormalWeb"/>
      </w:pPr>
      <w:r>
        <w:t xml:space="preserve">Absorción </w:t>
      </w:r>
    </w:p>
    <w:p w:rsidR="009C4AE8" w:rsidRDefault="009C4AE8" w:rsidP="009C4AE8">
      <w:pPr>
        <w:pStyle w:val="NormalWeb"/>
      </w:pPr>
      <w:r>
        <w:t xml:space="preserve">Se absorbe en el tracto gastrointestinal, alcanzándose la </w:t>
      </w:r>
      <w:proofErr w:type="spellStart"/>
      <w:r>
        <w:t>Cmax</w:t>
      </w:r>
      <w:proofErr w:type="spellEnd"/>
      <w:r>
        <w:t xml:space="preserve"> alrededor de las 2 horas. Los efectos comienzan a los 15-30 minutos, y se prolongan durante 6 horas. </w:t>
      </w:r>
    </w:p>
    <w:p w:rsidR="009C4AE8" w:rsidRDefault="009C4AE8" w:rsidP="009C4AE8">
      <w:pPr>
        <w:pStyle w:val="NormalWeb"/>
      </w:pPr>
      <w:proofErr w:type="spellStart"/>
      <w:r>
        <w:t>Biotransformación</w:t>
      </w:r>
      <w:proofErr w:type="spellEnd"/>
      <w:r>
        <w:t xml:space="preserve"> </w:t>
      </w:r>
    </w:p>
    <w:p w:rsidR="009C4AE8" w:rsidRDefault="009C4AE8" w:rsidP="009C4AE8">
      <w:pPr>
        <w:pStyle w:val="NormalWeb"/>
      </w:pPr>
      <w:r>
        <w:t xml:space="preserve">Sufre un intenso metabolismo en el hígado a través de la </w:t>
      </w:r>
      <w:proofErr w:type="spellStart"/>
      <w:r>
        <w:t>isoenzima</w:t>
      </w:r>
      <w:proofErr w:type="spellEnd"/>
      <w:r>
        <w:t xml:space="preserve"> CYP2D6 y CYP3A4 del citocromo P450, formándose derivados </w:t>
      </w:r>
      <w:proofErr w:type="spellStart"/>
      <w:r>
        <w:t>desmetilados</w:t>
      </w:r>
      <w:proofErr w:type="spellEnd"/>
      <w:r>
        <w:t xml:space="preserve"> como el </w:t>
      </w:r>
      <w:proofErr w:type="spellStart"/>
      <w:r>
        <w:t>dextrorfano</w:t>
      </w:r>
      <w:proofErr w:type="spellEnd"/>
      <w:r>
        <w:t xml:space="preserve">, que presenta cierta actividad. </w:t>
      </w:r>
    </w:p>
    <w:p w:rsidR="009C4AE8" w:rsidRDefault="009C4AE8" w:rsidP="009C4AE8">
      <w:pPr>
        <w:pStyle w:val="NormalWeb"/>
      </w:pPr>
      <w:r>
        <w:t xml:space="preserve">Eliminación </w:t>
      </w:r>
    </w:p>
    <w:p w:rsidR="009C4AE8" w:rsidRDefault="009C4AE8" w:rsidP="009C4AE8">
      <w:pPr>
        <w:pStyle w:val="NormalWeb"/>
      </w:pPr>
      <w:r>
        <w:t xml:space="preserve">El </w:t>
      </w:r>
      <w:proofErr w:type="spellStart"/>
      <w:r>
        <w:t>Dextrometorfano</w:t>
      </w:r>
      <w:proofErr w:type="spellEnd"/>
      <w:r>
        <w:t xml:space="preserve"> se excreta en orina, de forma inalterada o como metabolitos </w:t>
      </w:r>
      <w:proofErr w:type="spellStart"/>
      <w:r>
        <w:t>desmetilados</w:t>
      </w:r>
      <w:proofErr w:type="spellEnd"/>
      <w:r>
        <w:t xml:space="preserve">. La semivida de eliminación del </w:t>
      </w:r>
      <w:proofErr w:type="spellStart"/>
      <w:r>
        <w:t>Dextrometorfano</w:t>
      </w:r>
      <w:proofErr w:type="spellEnd"/>
      <w:r>
        <w:t xml:space="preserve"> es de 3,4 a 5,6 horas. </w:t>
      </w:r>
    </w:p>
    <w:p w:rsidR="009C4AE8" w:rsidRDefault="009C4AE8" w:rsidP="009C4AE8">
      <w:pPr>
        <w:pStyle w:val="NormalWeb"/>
      </w:pPr>
      <w:r>
        <w:t xml:space="preserve">Farmacocinética en situaciones especiales: </w:t>
      </w:r>
    </w:p>
    <w:p w:rsidR="009C4AE8" w:rsidRDefault="009C4AE8" w:rsidP="009C4AE8">
      <w:pPr>
        <w:pStyle w:val="NormalWeb"/>
      </w:pPr>
      <w:proofErr w:type="spellStart"/>
      <w:r>
        <w:t>Metabolizadores</w:t>
      </w:r>
      <w:proofErr w:type="spellEnd"/>
      <w:r>
        <w:t xml:space="preserve"> lentos. Alrededor del 6% de la población carece del gen que codifica los enzimas que metabolizan el </w:t>
      </w:r>
      <w:proofErr w:type="spellStart"/>
      <w:r>
        <w:t>Dextrometorfano</w:t>
      </w:r>
      <w:proofErr w:type="spellEnd"/>
      <w:r>
        <w:t xml:space="preserve">, que se hereda con patrón autosómico recesivo, presentando unos niveles plasmáticos hasta 20 veces superiores a los normales. La semivida de eliminación puede llegar hasta 45 horas. </w:t>
      </w:r>
    </w:p>
    <w:p w:rsidR="009C4AE8" w:rsidRDefault="009C4AE8" w:rsidP="009C4AE8">
      <w:pPr>
        <w:pStyle w:val="NormalWeb"/>
      </w:pPr>
      <w:proofErr w:type="spellStart"/>
      <w:r>
        <w:t>Guaifenesina</w:t>
      </w:r>
      <w:proofErr w:type="spellEnd"/>
      <w:r>
        <w:t>:</w:t>
      </w:r>
    </w:p>
    <w:p w:rsidR="009C4AE8" w:rsidRDefault="009C4AE8" w:rsidP="009C4AE8">
      <w:pPr>
        <w:pStyle w:val="NormalWeb"/>
      </w:pPr>
      <w:r>
        <w:t xml:space="preserve">Absorción </w:t>
      </w:r>
    </w:p>
    <w:p w:rsidR="009C4AE8" w:rsidRDefault="009C4AE8" w:rsidP="009C4AE8">
      <w:pPr>
        <w:pStyle w:val="NormalWeb"/>
      </w:pPr>
      <w:r>
        <w:t xml:space="preserve">La </w:t>
      </w:r>
      <w:proofErr w:type="spellStart"/>
      <w:r>
        <w:t>Guaifenesina</w:t>
      </w:r>
      <w:proofErr w:type="spellEnd"/>
      <w:r>
        <w:t xml:space="preserve"> se absorbe bien en el tracto gastrointestinal tras su administración oral. </w:t>
      </w:r>
    </w:p>
    <w:p w:rsidR="009C4AE8" w:rsidRDefault="009C4AE8" w:rsidP="009C4AE8">
      <w:pPr>
        <w:pStyle w:val="NormalWeb"/>
      </w:pPr>
      <w:proofErr w:type="spellStart"/>
      <w:r>
        <w:t>Biotransformación</w:t>
      </w:r>
      <w:proofErr w:type="spellEnd"/>
      <w:r>
        <w:t xml:space="preserve"> </w:t>
      </w:r>
    </w:p>
    <w:p w:rsidR="009C4AE8" w:rsidRDefault="009C4AE8" w:rsidP="009C4AE8">
      <w:pPr>
        <w:pStyle w:val="NormalWeb"/>
      </w:pPr>
      <w:r>
        <w:t xml:space="preserve">Un 60% aproximadamente de la dosis absorbida es hidrolizada produciendo el metabolito ácido ß-(2-metoxifenoxi) láctico. </w:t>
      </w:r>
    </w:p>
    <w:p w:rsidR="009C4AE8" w:rsidRDefault="009C4AE8" w:rsidP="009C4AE8">
      <w:pPr>
        <w:pStyle w:val="NormalWeb"/>
      </w:pPr>
      <w:r>
        <w:t xml:space="preserve">Eliminación </w:t>
      </w:r>
    </w:p>
    <w:p w:rsidR="009C4AE8" w:rsidRDefault="009C4AE8" w:rsidP="009C4AE8">
      <w:pPr>
        <w:pStyle w:val="NormalWeb"/>
      </w:pPr>
      <w:r>
        <w:t xml:space="preserve">La eliminación de la </w:t>
      </w:r>
      <w:proofErr w:type="spellStart"/>
      <w:r>
        <w:t>Guaifenesina</w:t>
      </w:r>
      <w:proofErr w:type="spellEnd"/>
      <w:r>
        <w:t xml:space="preserve"> es renal. Se excreta en la orina de forma inalterada, junto con los metabolitos ácido ß-(2-metoxifenoxi) láctico y ácido ß-(4-hidroxi-2-metoxifenoxi) láctico, inactivos. </w:t>
      </w:r>
    </w:p>
    <w:p w:rsidR="009C4AE8" w:rsidRDefault="009C4AE8" w:rsidP="009C4AE8">
      <w:pPr>
        <w:pStyle w:val="NormalWeb"/>
      </w:pPr>
      <w:r>
        <w:t xml:space="preserve">La semivida plasmática de la </w:t>
      </w:r>
      <w:proofErr w:type="spellStart"/>
      <w:r>
        <w:t>Guaifenesina</w:t>
      </w:r>
      <w:proofErr w:type="spellEnd"/>
      <w:r>
        <w:t xml:space="preserve"> tras su administración oral es de 1 hora. </w:t>
      </w:r>
    </w:p>
    <w:p w:rsidR="009C4AE8" w:rsidRDefault="009C4AE8" w:rsidP="009C4AE8">
      <w:pPr>
        <w:pStyle w:val="NormalWeb"/>
      </w:pPr>
      <w:r>
        <w:t>INDICACIONES TERAPEUTICAS:</w:t>
      </w:r>
    </w:p>
    <w:p w:rsidR="009C4AE8" w:rsidRDefault="009C4AE8" w:rsidP="009C4AE8">
      <w:pPr>
        <w:pStyle w:val="NormalWeb"/>
      </w:pPr>
      <w:r>
        <w:t>Está indicado para el alivio de la tos y para facilitar la expulsión del exceso de mocos y flemas en catarros y gripes para adultos y niños a partir de 6 años.</w:t>
      </w:r>
    </w:p>
    <w:p w:rsidR="009C4AE8" w:rsidRDefault="009C4AE8" w:rsidP="009C4AE8">
      <w:pPr>
        <w:pStyle w:val="NormalWeb"/>
      </w:pPr>
      <w:r>
        <w:t>POSOLOGIA:</w:t>
      </w:r>
    </w:p>
    <w:p w:rsidR="009C4AE8" w:rsidRDefault="009C4AE8" w:rsidP="009C4AE8">
      <w:pPr>
        <w:pStyle w:val="NormalWeb"/>
      </w:pPr>
      <w:r>
        <w:t xml:space="preserve">Adultos y adolescentes mayores de 12 años: 5 </w:t>
      </w:r>
      <w:proofErr w:type="spellStart"/>
      <w:r>
        <w:t>mL</w:t>
      </w:r>
      <w:proofErr w:type="spellEnd"/>
      <w:r>
        <w:t xml:space="preserve"> o 10 </w:t>
      </w:r>
      <w:proofErr w:type="spellStart"/>
      <w:r>
        <w:t>mL</w:t>
      </w:r>
      <w:proofErr w:type="spellEnd"/>
      <w:r>
        <w:t xml:space="preserve"> de solución oral, cada 4-6 horas según necesidad. Máximo 60 </w:t>
      </w:r>
      <w:proofErr w:type="spellStart"/>
      <w:r>
        <w:t>mL</w:t>
      </w:r>
      <w:proofErr w:type="spellEnd"/>
      <w:r>
        <w:t xml:space="preserve"> al día. </w:t>
      </w:r>
    </w:p>
    <w:p w:rsidR="009C4AE8" w:rsidRDefault="009C4AE8" w:rsidP="009C4AE8">
      <w:pPr>
        <w:pStyle w:val="NormalWeb"/>
      </w:pPr>
      <w:r>
        <w:t xml:space="preserve">Población pediátrica </w:t>
      </w:r>
    </w:p>
    <w:p w:rsidR="009C4AE8" w:rsidRDefault="009C4AE8" w:rsidP="009C4AE8">
      <w:pPr>
        <w:pStyle w:val="NormalWeb"/>
      </w:pPr>
      <w:r>
        <w:t xml:space="preserve">Niños de 6 a 12 años: 2,5 </w:t>
      </w:r>
      <w:proofErr w:type="spellStart"/>
      <w:r>
        <w:t>mL</w:t>
      </w:r>
      <w:proofErr w:type="spellEnd"/>
      <w:r>
        <w:t xml:space="preserve"> o 5 </w:t>
      </w:r>
      <w:proofErr w:type="spellStart"/>
      <w:r>
        <w:t>mL</w:t>
      </w:r>
      <w:proofErr w:type="spellEnd"/>
      <w:r>
        <w:t xml:space="preserve"> cada 4-6 horas según necesidad. Máximo 30 </w:t>
      </w:r>
      <w:proofErr w:type="spellStart"/>
      <w:r>
        <w:t>mL</w:t>
      </w:r>
      <w:proofErr w:type="spellEnd"/>
      <w:r>
        <w:t xml:space="preserve"> al día. </w:t>
      </w:r>
    </w:p>
    <w:p w:rsidR="009C4AE8" w:rsidRDefault="009C4AE8" w:rsidP="009C4AE8">
      <w:pPr>
        <w:pStyle w:val="NormalWeb"/>
      </w:pPr>
      <w:r>
        <w:t xml:space="preserve">Niños de 2 a 6 años: No deben de tomar este medicamento. </w:t>
      </w:r>
    </w:p>
    <w:p w:rsidR="009C4AE8" w:rsidRDefault="009C4AE8" w:rsidP="009C4AE8">
      <w:pPr>
        <w:pStyle w:val="NormalWeb"/>
      </w:pPr>
      <w:r>
        <w:t xml:space="preserve">Niños menores de 2 años: Está contraindicado. </w:t>
      </w:r>
    </w:p>
    <w:p w:rsidR="009C4AE8" w:rsidRDefault="009C4AE8" w:rsidP="009C4AE8">
      <w:pPr>
        <w:pStyle w:val="NormalWeb"/>
      </w:pPr>
      <w:r>
        <w:t>En enfermos hepáticos: La dosis debe reducirse a la mitad de la recomendada en cada población.</w:t>
      </w:r>
    </w:p>
    <w:p w:rsidR="009C4AE8" w:rsidRDefault="009C4AE8" w:rsidP="009C4AE8">
      <w:pPr>
        <w:pStyle w:val="NormalWeb"/>
      </w:pPr>
      <w:r>
        <w:t>Modo de uso</w:t>
      </w:r>
    </w:p>
    <w:p w:rsidR="009C4AE8" w:rsidRDefault="009C4AE8" w:rsidP="009C4AE8">
      <w:pPr>
        <w:pStyle w:val="NormalWeb"/>
      </w:pPr>
      <w:r>
        <w:t>Forma de administración:</w:t>
      </w:r>
    </w:p>
    <w:p w:rsidR="009C4AE8" w:rsidRDefault="009C4AE8" w:rsidP="009C4AE8">
      <w:pPr>
        <w:pStyle w:val="NormalWeb"/>
      </w:pPr>
      <w:r>
        <w:t>Este medicamento se toma vía oral. Utilizar el vaso dosificador para seleccionar la dosis exacta.</w:t>
      </w:r>
    </w:p>
    <w:p w:rsidR="009C4AE8" w:rsidRDefault="009C4AE8" w:rsidP="009C4AE8">
      <w:pPr>
        <w:pStyle w:val="NormalWeb"/>
      </w:pPr>
      <w:r>
        <w:t>Se recomienda beber un vaso de agua después de cada dosis y abundante líquido durante el día.</w:t>
      </w:r>
    </w:p>
    <w:p w:rsidR="009C4AE8" w:rsidRDefault="009C4AE8" w:rsidP="009C4AE8">
      <w:pPr>
        <w:pStyle w:val="NormalWeb"/>
      </w:pPr>
      <w:r>
        <w:t>La ingesta concomitante de este medicamento con alimentos o bebidas no afecta a la eficacia del mismo.</w:t>
      </w:r>
    </w:p>
    <w:p w:rsidR="009C4AE8" w:rsidRDefault="009C4AE8" w:rsidP="009C4AE8">
      <w:pPr>
        <w:pStyle w:val="NormalWeb"/>
      </w:pPr>
      <w:r>
        <w:t>No tomar con zumo de pomelo o naranja amarga ni con bebidas alcohólicas.</w:t>
      </w:r>
    </w:p>
    <w:p w:rsidR="009C4AE8" w:rsidRDefault="009C4AE8" w:rsidP="009C4AE8">
      <w:pPr>
        <w:pStyle w:val="NormalWeb"/>
      </w:pPr>
      <w:r>
        <w:t>Si los síntomas empeoran, si persisten más de 7 días de tratamiento, o si van acompañados de fiebre alta, erupciones en la piel o dolor de cabeza persistente, se deberá evaluar la situación clínica.</w:t>
      </w:r>
    </w:p>
    <w:p w:rsidR="009C4AE8" w:rsidRDefault="009C4AE8" w:rsidP="009C4AE8">
      <w:pPr>
        <w:pStyle w:val="NormalWeb"/>
      </w:pPr>
      <w:r>
        <w:t>CONTRAINDICACIONES:</w:t>
      </w:r>
    </w:p>
    <w:p w:rsidR="009C4AE8" w:rsidRDefault="009C4AE8" w:rsidP="009C4AE8">
      <w:pPr>
        <w:pStyle w:val="NormalWeb"/>
      </w:pPr>
      <w:r>
        <w:t xml:space="preserve">Hipersensibilidad al </w:t>
      </w:r>
      <w:proofErr w:type="spellStart"/>
      <w:r>
        <w:t>Dextrometorfano</w:t>
      </w:r>
      <w:proofErr w:type="spellEnd"/>
      <w:r>
        <w:t xml:space="preserve">, </w:t>
      </w:r>
      <w:proofErr w:type="spellStart"/>
      <w:r>
        <w:t>Guaifenesina</w:t>
      </w:r>
      <w:proofErr w:type="spellEnd"/>
      <w:r>
        <w:t xml:space="preserve"> o a alguno de los excipientes. Niños menores de 2 años. Tos asmática. Tos acompañada de excesiva expectoración. Insuficiencia respiratoria. Tratamiento, concomitante o en las 2 semanas precedentes, con IMAO (ver Interacciones). Pacientes con intolerancia a la fructosa (ver Advertencias). </w:t>
      </w:r>
    </w:p>
    <w:p w:rsidR="009C4AE8" w:rsidRDefault="009C4AE8" w:rsidP="009C4AE8">
      <w:pPr>
        <w:pStyle w:val="NormalWeb"/>
      </w:pPr>
      <w:r>
        <w:t>PRECAUCIONES Y ADVERTENCIAS:</w:t>
      </w:r>
    </w:p>
    <w:p w:rsidR="009C4AE8" w:rsidRDefault="009C4AE8" w:rsidP="009C4AE8">
      <w:pPr>
        <w:pStyle w:val="NormalWeb"/>
      </w:pPr>
      <w:r>
        <w:t xml:space="preserve">En pacientes con enfermedades hepáticas puede alterarse el metabolismo del </w:t>
      </w:r>
      <w:proofErr w:type="spellStart"/>
      <w:r>
        <w:t>Dextrometorfano</w:t>
      </w:r>
      <w:proofErr w:type="spellEnd"/>
      <w:r>
        <w:t xml:space="preserve">, esto se deberá tener en cuenta a la hora de establecer la pauta posológica de estos pacientes. </w:t>
      </w:r>
    </w:p>
    <w:p w:rsidR="009C4AE8" w:rsidRDefault="009C4AE8" w:rsidP="009C4AE8">
      <w:pPr>
        <w:pStyle w:val="NormalWeb"/>
      </w:pPr>
      <w:r>
        <w:t xml:space="preserve">No se debe administrar en caso de pacientes sedados, debilitados o encamados. </w:t>
      </w:r>
    </w:p>
    <w:p w:rsidR="009C4AE8" w:rsidRDefault="009C4AE8" w:rsidP="009C4AE8">
      <w:pPr>
        <w:pStyle w:val="NormalWeb"/>
      </w:pPr>
      <w:r>
        <w:t xml:space="preserve">No utilizar este medicamento en caso de tos persistente o crónica, como la debida al tabaco, ya que puede deteriorar la expectoración y aumentar así la resistencia de las vías respiratorias. </w:t>
      </w:r>
    </w:p>
    <w:p w:rsidR="009C4AE8" w:rsidRDefault="009C4AE8" w:rsidP="009C4AE8">
      <w:pPr>
        <w:pStyle w:val="NormalWeb"/>
      </w:pPr>
      <w:r>
        <w:t xml:space="preserve">La administración de </w:t>
      </w:r>
      <w:proofErr w:type="spellStart"/>
      <w:r>
        <w:t>Dextrometorfano</w:t>
      </w:r>
      <w:proofErr w:type="spellEnd"/>
      <w:r>
        <w:t xml:space="preserve"> puede estar asociada a la liberación de histamina, por lo que deberá evitarse en el caso de pacientes con dermatitis atópica. </w:t>
      </w:r>
    </w:p>
    <w:p w:rsidR="009C4AE8" w:rsidRDefault="009C4AE8" w:rsidP="009C4AE8">
      <w:pPr>
        <w:pStyle w:val="NormalWeb"/>
      </w:pPr>
      <w:r>
        <w:t xml:space="preserve">Se han notificado casos de abuso con el </w:t>
      </w:r>
      <w:proofErr w:type="spellStart"/>
      <w:r>
        <w:t>Dextrometorfano</w:t>
      </w:r>
      <w:proofErr w:type="spellEnd"/>
      <w:r>
        <w:t xml:space="preserve">, particularmente por parte de adolescentes. Por lo tanto, se debe tener en cuenta esta posibilidad debido a que se pueden ocasionar efectos adversos graves. (Ver Sobredosis) </w:t>
      </w:r>
    </w:p>
    <w:p w:rsidR="009C4AE8" w:rsidRDefault="009C4AE8" w:rsidP="009C4AE8">
      <w:pPr>
        <w:pStyle w:val="NormalWeb"/>
      </w:pPr>
      <w:r>
        <w:t xml:space="preserve">Población pediátrica: En niños menores de 6 años, no se recomienda utilizar este medicamento debido a que la composición de este medicamento no se ajusta a esta población. </w:t>
      </w:r>
    </w:p>
    <w:p w:rsidR="009C4AE8" w:rsidRDefault="009C4AE8" w:rsidP="009C4AE8">
      <w:pPr>
        <w:pStyle w:val="NormalWeb"/>
      </w:pPr>
      <w:r>
        <w:t>Advertencias</w:t>
      </w:r>
    </w:p>
    <w:p w:rsidR="009C4AE8" w:rsidRDefault="009C4AE8" w:rsidP="009C4AE8">
      <w:pPr>
        <w:pStyle w:val="NormalWeb"/>
      </w:pPr>
      <w:r>
        <w:t xml:space="preserve">Efectos sobre la capacidad para conducir y utilizar máquinas </w:t>
      </w:r>
    </w:p>
    <w:p w:rsidR="009C4AE8" w:rsidRDefault="009C4AE8" w:rsidP="009C4AE8">
      <w:pPr>
        <w:pStyle w:val="NormalWeb"/>
      </w:pPr>
      <w:r>
        <w:t xml:space="preserve">Durante el tratamiento con medicamentos que contienen </w:t>
      </w:r>
      <w:proofErr w:type="spellStart"/>
      <w:r>
        <w:t>Dextrometorfano</w:t>
      </w:r>
      <w:proofErr w:type="spellEnd"/>
      <w:r>
        <w:t xml:space="preserve"> en raras ocasiones puede aparecer una disminución de la capacidad de reacción o somnolencia y mareo leves, que habrá que tener en cuenta en caso de conducir y utilizar máquinas.</w:t>
      </w:r>
    </w:p>
    <w:p w:rsidR="009C4AE8" w:rsidRDefault="009C4AE8" w:rsidP="009C4AE8">
      <w:pPr>
        <w:pStyle w:val="NormalWeb"/>
      </w:pPr>
      <w:r>
        <w:t>REACCIONES ADVERSAS Y EFECTOS COLATERALES:</w:t>
      </w:r>
    </w:p>
    <w:p w:rsidR="009C4AE8" w:rsidRDefault="009C4AE8" w:rsidP="009C4AE8">
      <w:pPr>
        <w:pStyle w:val="NormalWeb"/>
      </w:pPr>
      <w:r>
        <w:t xml:space="preserve">Durante el periodo de utilización del </w:t>
      </w:r>
      <w:proofErr w:type="spellStart"/>
      <w:r>
        <w:t>Dextrometorfano</w:t>
      </w:r>
      <w:proofErr w:type="spellEnd"/>
      <w:r>
        <w:t xml:space="preserve"> y </w:t>
      </w:r>
      <w:proofErr w:type="spellStart"/>
      <w:r>
        <w:t>Guaifenesina</w:t>
      </w:r>
      <w:proofErr w:type="spellEnd"/>
      <w:r>
        <w:t xml:space="preserve">, se han notificado las siguientes reacciones adversas cuya frecuencia no se ha podido establecer con exactitud: </w:t>
      </w:r>
    </w:p>
    <w:p w:rsidR="009C4AE8" w:rsidRDefault="009C4AE8" w:rsidP="009C4AE8">
      <w:pPr>
        <w:pStyle w:val="NormalWeb"/>
      </w:pPr>
      <w:r>
        <w:t xml:space="preserve">Trastornos del sistema nervioso: Se ha notificado que en algunos casos se ha producido somnolencia, mareo, vértigo, cefalea y más raramente confusión mental. </w:t>
      </w:r>
    </w:p>
    <w:p w:rsidR="009C4AE8" w:rsidRDefault="009C4AE8" w:rsidP="009C4AE8">
      <w:pPr>
        <w:pStyle w:val="NormalWeb"/>
      </w:pPr>
      <w:r>
        <w:t xml:space="preserve">Trastornos gastrointestinales: Se ha notificado que en algunos casos se ha producido estreñimiento, náuseas, vómitos y molestias gastrointestinales. Trastornos de la piel y tejido subcutáneo: Urticaria, </w:t>
      </w:r>
      <w:proofErr w:type="spellStart"/>
      <w:r>
        <w:t>rash</w:t>
      </w:r>
      <w:proofErr w:type="spellEnd"/>
      <w:r>
        <w:t xml:space="preserve"> cutáneo. </w:t>
      </w:r>
    </w:p>
    <w:p w:rsidR="009C4AE8" w:rsidRDefault="009C4AE8" w:rsidP="009C4AE8">
      <w:pPr>
        <w:pStyle w:val="NormalWeb"/>
      </w:pPr>
      <w:r>
        <w:t>INTERACCIONES CON ALIMENTOS Y MEDICAMENTOS:</w:t>
      </w:r>
    </w:p>
    <w:p w:rsidR="009C4AE8" w:rsidRDefault="009C4AE8" w:rsidP="009C4AE8">
      <w:pPr>
        <w:pStyle w:val="NormalWeb"/>
      </w:pPr>
      <w:r>
        <w:t>- AINE inhibidores de la COX-2 (</w:t>
      </w:r>
      <w:proofErr w:type="spellStart"/>
      <w:r>
        <w:t>Coxib</w:t>
      </w:r>
      <w:proofErr w:type="spellEnd"/>
      <w:r>
        <w:t xml:space="preserve">). En estudios </w:t>
      </w:r>
      <w:proofErr w:type="spellStart"/>
      <w:r>
        <w:t>farmacocinéticos</w:t>
      </w:r>
      <w:proofErr w:type="spellEnd"/>
      <w:r>
        <w:t xml:space="preserve"> se ha podido observar que las concentraciones plasmáticas de </w:t>
      </w:r>
      <w:proofErr w:type="spellStart"/>
      <w:r>
        <w:t>Dextrometorfano</w:t>
      </w:r>
      <w:proofErr w:type="spellEnd"/>
      <w:r>
        <w:t xml:space="preserve"> podrían verse aumentadas al administrar junto con </w:t>
      </w:r>
      <w:proofErr w:type="spellStart"/>
      <w:r>
        <w:t>celecoxib</w:t>
      </w:r>
      <w:proofErr w:type="spellEnd"/>
      <w:r>
        <w:t xml:space="preserve">, </w:t>
      </w:r>
      <w:proofErr w:type="spellStart"/>
      <w:r>
        <w:t>parecoxib</w:t>
      </w:r>
      <w:proofErr w:type="spellEnd"/>
      <w:r>
        <w:t xml:space="preserve"> o </w:t>
      </w:r>
      <w:proofErr w:type="spellStart"/>
      <w:r>
        <w:t>valdecoxib</w:t>
      </w:r>
      <w:proofErr w:type="spellEnd"/>
      <w:r>
        <w:t xml:space="preserve"> por la inhibición del metabolismo hepático del </w:t>
      </w:r>
      <w:proofErr w:type="spellStart"/>
      <w:r>
        <w:t>Dextrometorfano</w:t>
      </w:r>
      <w:proofErr w:type="spellEnd"/>
      <w:r>
        <w:t xml:space="preserve">. </w:t>
      </w:r>
    </w:p>
    <w:p w:rsidR="009C4AE8" w:rsidRDefault="009C4AE8" w:rsidP="009C4AE8">
      <w:pPr>
        <w:pStyle w:val="NormalWeb"/>
      </w:pPr>
      <w:r>
        <w:t xml:space="preserve">- </w:t>
      </w:r>
      <w:proofErr w:type="spellStart"/>
      <w:r>
        <w:t>Antiarrítmicos</w:t>
      </w:r>
      <w:proofErr w:type="spellEnd"/>
      <w:r>
        <w:t xml:space="preserve"> (</w:t>
      </w:r>
      <w:proofErr w:type="spellStart"/>
      <w:r>
        <w:t>amiodarona</w:t>
      </w:r>
      <w:proofErr w:type="spellEnd"/>
      <w:r>
        <w:t xml:space="preserve"> o </w:t>
      </w:r>
      <w:proofErr w:type="spellStart"/>
      <w:r>
        <w:t>quinidina</w:t>
      </w:r>
      <w:proofErr w:type="spellEnd"/>
      <w:r>
        <w:t xml:space="preserve">). Aumentan las concentraciones plasmáticas de </w:t>
      </w:r>
      <w:proofErr w:type="spellStart"/>
      <w:r>
        <w:t>Dextrometorfano</w:t>
      </w:r>
      <w:proofErr w:type="spellEnd"/>
      <w:r>
        <w:t xml:space="preserve"> pudiendo alcanzarse niveles tóxicos. Podría ser necesario un reajuste de dosis. </w:t>
      </w:r>
    </w:p>
    <w:p w:rsidR="009C4AE8" w:rsidRDefault="009C4AE8" w:rsidP="009C4AE8">
      <w:pPr>
        <w:pStyle w:val="NormalWeb"/>
      </w:pPr>
      <w:r>
        <w:t xml:space="preserve">- Antidepresivos inhibidores de la </w:t>
      </w:r>
      <w:proofErr w:type="spellStart"/>
      <w:r>
        <w:t>monoaminoxidasa</w:t>
      </w:r>
      <w:proofErr w:type="spellEnd"/>
      <w:r>
        <w:t xml:space="preserve"> (IMAO) como </w:t>
      </w:r>
      <w:proofErr w:type="spellStart"/>
      <w:r>
        <w:t>moclobemida</w:t>
      </w:r>
      <w:proofErr w:type="spellEnd"/>
      <w:r>
        <w:t xml:space="preserve">, y </w:t>
      </w:r>
      <w:proofErr w:type="spellStart"/>
      <w:r>
        <w:t>tranilcipromina</w:t>
      </w:r>
      <w:proofErr w:type="spellEnd"/>
      <w:r>
        <w:t xml:space="preserve">; Antidepresivos inhibidores de la </w:t>
      </w:r>
      <w:proofErr w:type="spellStart"/>
      <w:r>
        <w:t>recaptación</w:t>
      </w:r>
      <w:proofErr w:type="spellEnd"/>
      <w:r>
        <w:t xml:space="preserve"> de la serotonina (ISRS) como </w:t>
      </w:r>
      <w:proofErr w:type="spellStart"/>
      <w:r>
        <w:t>fluoxetina</w:t>
      </w:r>
      <w:proofErr w:type="spellEnd"/>
      <w:r>
        <w:t xml:space="preserve"> y </w:t>
      </w:r>
      <w:proofErr w:type="spellStart"/>
      <w:r>
        <w:t>paroxetina</w:t>
      </w:r>
      <w:proofErr w:type="spellEnd"/>
      <w:r>
        <w:t xml:space="preserve">; fármacos </w:t>
      </w:r>
      <w:proofErr w:type="spellStart"/>
      <w:r>
        <w:t>serotoninérgicos</w:t>
      </w:r>
      <w:proofErr w:type="spellEnd"/>
      <w:r>
        <w:t xml:space="preserve"> como </w:t>
      </w:r>
      <w:proofErr w:type="spellStart"/>
      <w:r>
        <w:t>bupropión</w:t>
      </w:r>
      <w:proofErr w:type="spellEnd"/>
      <w:r>
        <w:t xml:space="preserve"> o </w:t>
      </w:r>
      <w:proofErr w:type="spellStart"/>
      <w:r>
        <w:t>sibutramina</w:t>
      </w:r>
      <w:proofErr w:type="spellEnd"/>
      <w:r>
        <w:t xml:space="preserve"> y otros medicamentos inhibidores de la </w:t>
      </w:r>
      <w:proofErr w:type="spellStart"/>
      <w:r>
        <w:t>monoaminoxidasa</w:t>
      </w:r>
      <w:proofErr w:type="spellEnd"/>
      <w:r>
        <w:t xml:space="preserve"> (IMAO) como </w:t>
      </w:r>
      <w:proofErr w:type="spellStart"/>
      <w:r>
        <w:t>procarbazina</w:t>
      </w:r>
      <w:proofErr w:type="spellEnd"/>
      <w:r>
        <w:t xml:space="preserve">, </w:t>
      </w:r>
      <w:proofErr w:type="spellStart"/>
      <w:r>
        <w:t>selegilina</w:t>
      </w:r>
      <w:proofErr w:type="spellEnd"/>
      <w:r>
        <w:t xml:space="preserve">, </w:t>
      </w:r>
      <w:proofErr w:type="spellStart"/>
      <w:r>
        <w:t>linezolol</w:t>
      </w:r>
      <w:proofErr w:type="spellEnd"/>
      <w:r>
        <w:t xml:space="preserve">: Se han producido graves reacciones adversas, caracterizadas por un síndrome </w:t>
      </w:r>
      <w:proofErr w:type="spellStart"/>
      <w:r>
        <w:t>serotoninérgico</w:t>
      </w:r>
      <w:proofErr w:type="spellEnd"/>
      <w:r>
        <w:t xml:space="preserve"> con excitación, sudoración, rigidez e hipertensión. Este cuadro podría deberse a la inhibición del metabolismo hepático del </w:t>
      </w:r>
      <w:proofErr w:type="spellStart"/>
      <w:r>
        <w:t>Dextrometorfano</w:t>
      </w:r>
      <w:proofErr w:type="spellEnd"/>
      <w:r>
        <w:t xml:space="preserve">. Por lo tanto, se recomienda evitar la asociación y no administrar </w:t>
      </w:r>
      <w:proofErr w:type="spellStart"/>
      <w:r>
        <w:t>Dextrometorfano</w:t>
      </w:r>
      <w:proofErr w:type="spellEnd"/>
      <w:r>
        <w:t xml:space="preserve"> hasta pasados al menos 14 días del tratamiento con alguno de estos medicamentos. </w:t>
      </w:r>
    </w:p>
    <w:p w:rsidR="009C4AE8" w:rsidRDefault="009C4AE8" w:rsidP="009C4AE8">
      <w:pPr>
        <w:pStyle w:val="NormalWeb"/>
      </w:pPr>
      <w:r>
        <w:t xml:space="preserve">- Depresores del S.N.C. incluyendo psicotrópicos, antihistamínicos, o medicamentos </w:t>
      </w:r>
      <w:proofErr w:type="spellStart"/>
      <w:r>
        <w:t>antiparkisonianos</w:t>
      </w:r>
      <w:proofErr w:type="spellEnd"/>
      <w:r>
        <w:t xml:space="preserve">: Posible potenciación de los efectos depresores sobre el S.N.C. </w:t>
      </w:r>
    </w:p>
    <w:p w:rsidR="009C4AE8" w:rsidRDefault="009C4AE8" w:rsidP="009C4AE8">
      <w:pPr>
        <w:pStyle w:val="NormalWeb"/>
      </w:pPr>
      <w:r>
        <w:t xml:space="preserve">- Expectorantes y </w:t>
      </w:r>
      <w:proofErr w:type="spellStart"/>
      <w:r>
        <w:t>mucolíticos</w:t>
      </w:r>
      <w:proofErr w:type="spellEnd"/>
      <w:r>
        <w:t xml:space="preserve">. La inhibición del reflejo de la tos podría dar lugar a una obstrucción pulmonar en caso de aumento del volumen o de la fluidez de las secreciones bronquiales. </w:t>
      </w:r>
    </w:p>
    <w:p w:rsidR="009C4AE8" w:rsidRDefault="009C4AE8" w:rsidP="009C4AE8">
      <w:pPr>
        <w:pStyle w:val="NormalWeb"/>
      </w:pPr>
      <w:r>
        <w:t xml:space="preserve">- Haloperidol: Como inhibe el </w:t>
      </w:r>
      <w:proofErr w:type="spellStart"/>
      <w:r>
        <w:t>isoenzima</w:t>
      </w:r>
      <w:proofErr w:type="spellEnd"/>
      <w:r>
        <w:t xml:space="preserve"> CYP2D6 puede incrementar los niveles plasmáticos de </w:t>
      </w:r>
      <w:proofErr w:type="spellStart"/>
      <w:r>
        <w:t>Dextrometorfano</w:t>
      </w:r>
      <w:proofErr w:type="spellEnd"/>
      <w:r>
        <w:t xml:space="preserve"> por lo que es probable una exacerbación de sus efectos adversos. </w:t>
      </w:r>
    </w:p>
    <w:p w:rsidR="009C4AE8" w:rsidRDefault="009C4AE8" w:rsidP="009C4AE8">
      <w:pPr>
        <w:pStyle w:val="NormalWeb"/>
      </w:pPr>
      <w:r>
        <w:t xml:space="preserve">- El consumo de alcohol durante el tratamiento con </w:t>
      </w:r>
      <w:proofErr w:type="spellStart"/>
      <w:r>
        <w:t>Dextrometorfano</w:t>
      </w:r>
      <w:proofErr w:type="spellEnd"/>
      <w:r>
        <w:t xml:space="preserve"> puede aumentar la aparición de reacciones adversas, por lo que no se deben ingerir bebidas alcohólicas durante el mismo. </w:t>
      </w:r>
    </w:p>
    <w:p w:rsidR="009C4AE8" w:rsidRDefault="009C4AE8" w:rsidP="009C4AE8">
      <w:pPr>
        <w:pStyle w:val="NormalWeb"/>
      </w:pPr>
      <w:r>
        <w:t xml:space="preserve">- No administrar conjuntamente con zumo de pomelo o de naranja amarga, ya que pueden incrementar los niveles plasmáticos de </w:t>
      </w:r>
      <w:proofErr w:type="spellStart"/>
      <w:r>
        <w:t>Dextrometorfano</w:t>
      </w:r>
      <w:proofErr w:type="spellEnd"/>
      <w:r>
        <w:t xml:space="preserve"> al actuar como inhibidores del citocromo P450 (CYP2D6 y CYP3A4). </w:t>
      </w:r>
    </w:p>
    <w:p w:rsidR="009C4AE8" w:rsidRDefault="009C4AE8" w:rsidP="009C4AE8">
      <w:pPr>
        <w:pStyle w:val="NormalWeb"/>
      </w:pPr>
      <w:r>
        <w:t xml:space="preserve">Interacciones con pruebas analíticas: </w:t>
      </w:r>
    </w:p>
    <w:p w:rsidR="009C4AE8" w:rsidRDefault="009C4AE8" w:rsidP="009C4AE8">
      <w:pPr>
        <w:pStyle w:val="NormalWeb"/>
      </w:pPr>
      <w:r>
        <w:t xml:space="preserve">Por la presencia de </w:t>
      </w:r>
      <w:proofErr w:type="spellStart"/>
      <w:r>
        <w:t>Guaifenesina</w:t>
      </w:r>
      <w:proofErr w:type="spellEnd"/>
      <w:r>
        <w:t xml:space="preserve"> o sus metabolitos, se pueden producir interferencias con el color en las determinaciones en orina del ácido </w:t>
      </w:r>
      <w:proofErr w:type="spellStart"/>
      <w:r>
        <w:t>vanilmandélico</w:t>
      </w:r>
      <w:proofErr w:type="spellEnd"/>
      <w:r>
        <w:t xml:space="preserve"> (VMA) y del ácido 5-hidroxiindolacético (5-HIAA), ya que puede aumentar falsamente el color cuando se usa el reactivo </w:t>
      </w:r>
      <w:proofErr w:type="spellStart"/>
      <w:r>
        <w:t>nitrosonaftol</w:t>
      </w:r>
      <w:proofErr w:type="spellEnd"/>
      <w:r>
        <w:t xml:space="preserve">. Se recomienda suprimir la administración de este medicamento 48 horas antes de efectuar las pruebas. </w:t>
      </w:r>
    </w:p>
    <w:p w:rsidR="009C4AE8" w:rsidRDefault="009C4AE8" w:rsidP="009C4AE8">
      <w:pPr>
        <w:pStyle w:val="NormalWeb"/>
      </w:pPr>
      <w:r>
        <w:t>SOBREDOSIFICACION:</w:t>
      </w:r>
    </w:p>
    <w:p w:rsidR="009C4AE8" w:rsidRDefault="009C4AE8" w:rsidP="009C4AE8">
      <w:pPr>
        <w:pStyle w:val="NormalWeb"/>
      </w:pPr>
      <w:r>
        <w:t xml:space="preserve">Los signos de sobredosis de </w:t>
      </w:r>
      <w:proofErr w:type="spellStart"/>
      <w:r>
        <w:t>Dextrometorfano</w:t>
      </w:r>
      <w:proofErr w:type="spellEnd"/>
      <w:r>
        <w:t xml:space="preserve"> se manifiestan con confusión, excitabilidad, inquietud, nerviosismo o irritabilidad. </w:t>
      </w:r>
    </w:p>
    <w:p w:rsidR="009C4AE8" w:rsidRDefault="009C4AE8" w:rsidP="009C4AE8">
      <w:pPr>
        <w:pStyle w:val="NormalWeb"/>
      </w:pPr>
      <w:r>
        <w:t xml:space="preserve">La ingesta accidental de dosis muy altas, puede producir en los niños un estado de sopor o letargo, alucinaciones, histeria, edema facial, excitabilidad, náuseas, vómitos o alteraciones en la forma de andar. El tratamiento es sintomático incluyendo la inducción del vómito y el lavado gástrico. </w:t>
      </w:r>
    </w:p>
    <w:p w:rsidR="009C4AE8" w:rsidRDefault="009C4AE8" w:rsidP="009C4AE8">
      <w:pPr>
        <w:pStyle w:val="NormalWeb"/>
      </w:pPr>
      <w:r>
        <w:t xml:space="preserve">En caso de depresión respiratoria, administrar </w:t>
      </w:r>
      <w:proofErr w:type="spellStart"/>
      <w:r>
        <w:t>naloxona</w:t>
      </w:r>
      <w:proofErr w:type="spellEnd"/>
      <w:r>
        <w:t xml:space="preserve"> y asistencia respiratoria. </w:t>
      </w:r>
    </w:p>
    <w:p w:rsidR="009C4AE8" w:rsidRDefault="009C4AE8" w:rsidP="009C4AE8">
      <w:pPr>
        <w:pStyle w:val="NormalWeb"/>
      </w:pPr>
      <w:r>
        <w:t xml:space="preserve">Si se producen convulsiones, administrar </w:t>
      </w:r>
      <w:proofErr w:type="spellStart"/>
      <w:r>
        <w:t>benzodiazepinas</w:t>
      </w:r>
      <w:proofErr w:type="spellEnd"/>
      <w:r>
        <w:t xml:space="preserve"> por vía intravenosa o rectal, en función de la edad. </w:t>
      </w:r>
    </w:p>
    <w:p w:rsidR="009C4AE8" w:rsidRDefault="009C4AE8" w:rsidP="009C4AE8">
      <w:pPr>
        <w:pStyle w:val="NormalWeb"/>
      </w:pPr>
      <w:r>
        <w:t xml:space="preserve">Excepcionalmente se han notificado casos de abuso con este medicamento, particularmente por parte de adolescentes con graves efectos adversos, como ansiedad, pánico, pérdida de memoria, taquicardia, letargo, hipertensión o hipotensión, midriasis, agitación, vértigo, molestias gastrointestinales, alucinaciones, habla </w:t>
      </w:r>
      <w:proofErr w:type="spellStart"/>
      <w:r>
        <w:t>farfullante</w:t>
      </w:r>
      <w:proofErr w:type="spellEnd"/>
      <w:r>
        <w:t xml:space="preserve">, nistagmo, fiebre, taquipnea, daño cerebral, ataxia, convulsiones, depresión respiratoria, pérdida de conciencia, arritmias y muerte. </w:t>
      </w:r>
    </w:p>
    <w:p w:rsidR="009C4AE8" w:rsidRDefault="009C4AE8" w:rsidP="009C4AE8">
      <w:pPr>
        <w:pStyle w:val="NormalWeb"/>
      </w:pPr>
      <w:r>
        <w:t xml:space="preserve">La sobredosis aguda por </w:t>
      </w:r>
      <w:proofErr w:type="spellStart"/>
      <w:r>
        <w:t>Guaifenesina</w:t>
      </w:r>
      <w:proofErr w:type="spellEnd"/>
      <w:r>
        <w:t xml:space="preserve"> puede producir náuseas y vómitos. </w:t>
      </w:r>
    </w:p>
    <w:p w:rsidR="009C4AE8" w:rsidRDefault="009C4AE8" w:rsidP="009C4AE8">
      <w:pPr>
        <w:pStyle w:val="NormalWeb"/>
      </w:pPr>
      <w:r>
        <w:t xml:space="preserve">El abuso de medicamentos con </w:t>
      </w:r>
      <w:proofErr w:type="spellStart"/>
      <w:r>
        <w:t>Guaifenesina</w:t>
      </w:r>
      <w:proofErr w:type="spellEnd"/>
      <w:r>
        <w:t xml:space="preserve"> puede producir </w:t>
      </w:r>
      <w:proofErr w:type="spellStart"/>
      <w:r>
        <w:t>urolitiasis</w:t>
      </w:r>
      <w:proofErr w:type="spellEnd"/>
      <w:r>
        <w:t>.</w:t>
      </w:r>
    </w:p>
    <w:p w:rsidR="009C4AE8" w:rsidRDefault="009C4AE8" w:rsidP="009C4AE8">
      <w:pPr>
        <w:pStyle w:val="NormalWeb"/>
      </w:pPr>
      <w:r>
        <w:t>En caso de sobredosis o ingestión accidental, consultar al Servicio de Toxicología del Hospital de Emergencias Médicas -Tel: 220-418 o el 204-800 (</w:t>
      </w:r>
      <w:proofErr w:type="spellStart"/>
      <w:r>
        <w:t>int</w:t>
      </w:r>
      <w:proofErr w:type="spellEnd"/>
      <w:r>
        <w:t>. 011).</w:t>
      </w:r>
    </w:p>
    <w:p w:rsidR="009C4AE8" w:rsidRDefault="009C4AE8" w:rsidP="009C4AE8">
      <w:pPr>
        <w:pStyle w:val="NormalWeb"/>
      </w:pPr>
      <w:r>
        <w:t>RESTRICCIONES DE USO:</w:t>
      </w:r>
    </w:p>
    <w:p w:rsidR="009C4AE8" w:rsidRDefault="009C4AE8" w:rsidP="009C4AE8">
      <w:pPr>
        <w:pStyle w:val="NormalWeb"/>
      </w:pPr>
      <w:r>
        <w:t xml:space="preserve">Embarazo </w:t>
      </w:r>
    </w:p>
    <w:p w:rsidR="009C4AE8" w:rsidRDefault="009C4AE8" w:rsidP="009C4AE8">
      <w:pPr>
        <w:pStyle w:val="NormalWeb"/>
      </w:pPr>
      <w:r>
        <w:t xml:space="preserve">No hay datos o éstos son limitados relativos al uso de </w:t>
      </w:r>
      <w:proofErr w:type="spellStart"/>
      <w:r>
        <w:t>Dextrometorfano</w:t>
      </w:r>
      <w:proofErr w:type="spellEnd"/>
      <w:r>
        <w:t xml:space="preserve"> y de </w:t>
      </w:r>
      <w:proofErr w:type="spellStart"/>
      <w:r>
        <w:t>Guaifenesina</w:t>
      </w:r>
      <w:proofErr w:type="spellEnd"/>
      <w:r>
        <w:t xml:space="preserve"> en mujeres embarazadas. </w:t>
      </w:r>
    </w:p>
    <w:p w:rsidR="009C4AE8" w:rsidRDefault="009C4AE8" w:rsidP="009C4AE8">
      <w:pPr>
        <w:pStyle w:val="NormalWeb"/>
      </w:pPr>
      <w:r>
        <w:t xml:space="preserve">Los estudios realizados en animales son insuficientes en términos de toxicidad para la reproducción. </w:t>
      </w:r>
    </w:p>
    <w:p w:rsidR="009C4AE8" w:rsidRDefault="009C4AE8" w:rsidP="009C4AE8">
      <w:pPr>
        <w:pStyle w:val="NormalWeb"/>
      </w:pPr>
      <w:r>
        <w:t xml:space="preserve">Como medida de precaución es preferible evitar el uso de este medicamento durante el embarazo. </w:t>
      </w:r>
    </w:p>
    <w:p w:rsidR="009C4AE8" w:rsidRDefault="009C4AE8" w:rsidP="009C4AE8">
      <w:pPr>
        <w:pStyle w:val="NormalWeb"/>
      </w:pPr>
      <w:r>
        <w:t xml:space="preserve">Lactancia </w:t>
      </w:r>
    </w:p>
    <w:p w:rsidR="009C4AE8" w:rsidRDefault="009C4AE8" w:rsidP="009C4AE8">
      <w:pPr>
        <w:pStyle w:val="NormalWeb"/>
      </w:pPr>
      <w:r>
        <w:t xml:space="preserve">No se dispone de información suficiente relativa a la excreción del </w:t>
      </w:r>
      <w:proofErr w:type="spellStart"/>
      <w:r>
        <w:t>Dextrometorfano</w:t>
      </w:r>
      <w:proofErr w:type="spellEnd"/>
      <w:r>
        <w:t xml:space="preserve"> y </w:t>
      </w:r>
      <w:proofErr w:type="spellStart"/>
      <w:r>
        <w:t>Guafenesina</w:t>
      </w:r>
      <w:proofErr w:type="spellEnd"/>
      <w:r>
        <w:t>/metabolitos en la leche materna.</w:t>
      </w:r>
    </w:p>
    <w:p w:rsidR="009C4AE8" w:rsidRDefault="009C4AE8" w:rsidP="009C4AE8">
      <w:pPr>
        <w:pStyle w:val="NormalWeb"/>
      </w:pPr>
      <w:r>
        <w:t>CONSERVACION:</w:t>
      </w:r>
    </w:p>
    <w:p w:rsidR="009C4AE8" w:rsidRDefault="009C4AE8" w:rsidP="009C4AE8">
      <w:pPr>
        <w:pStyle w:val="NormalWeb"/>
      </w:pPr>
      <w:r>
        <w:t>Almacenar a temperatura entre 15° y 30 °C.</w:t>
      </w:r>
    </w:p>
    <w:p w:rsidR="009C4AE8" w:rsidRDefault="009C4AE8" w:rsidP="009C4AE8">
      <w:pPr>
        <w:pStyle w:val="NormalWeb"/>
      </w:pPr>
      <w:r>
        <w:t>PRESENTACIONES:</w:t>
      </w:r>
    </w:p>
    <w:p w:rsidR="009C4AE8" w:rsidRDefault="009C4AE8" w:rsidP="009C4AE8">
      <w:pPr>
        <w:pStyle w:val="NormalWeb"/>
      </w:pPr>
      <w:r>
        <w:t xml:space="preserve">Caja conteniendo 1frasco x 100 </w:t>
      </w:r>
      <w:proofErr w:type="spellStart"/>
      <w:r>
        <w:t>mL</w:t>
      </w:r>
      <w:proofErr w:type="spellEnd"/>
    </w:p>
    <w:p w:rsidR="009C4AE8" w:rsidRDefault="009C4AE8" w:rsidP="009C4AE8">
      <w:pPr>
        <w:pStyle w:val="NormalWeb"/>
      </w:pPr>
      <w:r>
        <w:t xml:space="preserve">Este medicamento </w:t>
      </w:r>
      <w:proofErr w:type="gramStart"/>
      <w:r>
        <w:t>deben</w:t>
      </w:r>
      <w:proofErr w:type="gramEnd"/>
      <w:r>
        <w:t xml:space="preserve"> ser usado únicamente por prescripción médica y no podrán repetirse sin nueva indicación del facultativo. </w:t>
      </w:r>
    </w:p>
    <w:p w:rsidR="009C4AE8" w:rsidRDefault="009C4AE8" w:rsidP="009C4AE8">
      <w:pPr>
        <w:pStyle w:val="NormalWeb"/>
      </w:pPr>
      <w:r>
        <w:t xml:space="preserve">En caso de uso de </w:t>
      </w:r>
      <w:proofErr w:type="gramStart"/>
      <w:r>
        <w:t>este medicamentos</w:t>
      </w:r>
      <w:proofErr w:type="gramEnd"/>
      <w:r>
        <w:t xml:space="preserve"> sin prescripción médica, la ocurrencia de efectos adversos e indeseables será de exclusiva responsabilidad de quien lo consuma.</w:t>
      </w:r>
    </w:p>
    <w:p w:rsidR="009C4AE8" w:rsidRDefault="009C4AE8" w:rsidP="009C4AE8">
      <w:pPr>
        <w:pStyle w:val="NormalWeb"/>
      </w:pPr>
      <w:r>
        <w:t>Si Ud. es deportista y está sometido a control de doping, no consuma estos productos sin consultar a su médico.</w:t>
      </w:r>
    </w:p>
    <w:p w:rsidR="009C4AE8" w:rsidRDefault="009C4AE8" w:rsidP="009C4AE8">
      <w:pPr>
        <w:pStyle w:val="NormalWeb"/>
      </w:pPr>
      <w:r>
        <w:t xml:space="preserve">Director Técnico: D.T.: Q.F. Laura Ramírez </w:t>
      </w:r>
    </w:p>
    <w:p w:rsidR="009C4AE8" w:rsidRDefault="009C4AE8" w:rsidP="009C4AE8">
      <w:pPr>
        <w:pStyle w:val="NormalWeb"/>
      </w:pPr>
      <w:r>
        <w:t>Reg. Prof. Nº 4.142</w:t>
      </w:r>
    </w:p>
    <w:p w:rsidR="009C4AE8" w:rsidRDefault="009C4AE8" w:rsidP="009C4AE8">
      <w:pPr>
        <w:pStyle w:val="NormalWeb"/>
      </w:pPr>
      <w:r>
        <w:t>Autorizado por D.N.V.S. del M.S.P. y B.S.</w:t>
      </w:r>
    </w:p>
    <w:p w:rsidR="009C4AE8" w:rsidRDefault="009C4AE8" w:rsidP="009C4AE8">
      <w:pPr>
        <w:pStyle w:val="NormalWeb"/>
      </w:pPr>
      <w:r>
        <w:t>MANTENER FUERA DEL ALCANCE DE LOS NIÑOS</w:t>
      </w:r>
    </w:p>
    <w:p w:rsidR="00A9011C" w:rsidRPr="009C4AE8" w:rsidRDefault="00A9011C" w:rsidP="009C4AE8">
      <w:bookmarkStart w:id="0" w:name="_GoBack"/>
      <w:bookmarkEnd w:id="0"/>
    </w:p>
    <w:sectPr w:rsidR="00A9011C" w:rsidRPr="009C4AE8" w:rsidSect="00A9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067670"/>
    <w:rsid w:val="00072F46"/>
    <w:rsid w:val="0009439F"/>
    <w:rsid w:val="000B0F5C"/>
    <w:rsid w:val="000C4E61"/>
    <w:rsid w:val="00156470"/>
    <w:rsid w:val="0017169E"/>
    <w:rsid w:val="001D0AF4"/>
    <w:rsid w:val="001F0CA4"/>
    <w:rsid w:val="00225276"/>
    <w:rsid w:val="00253CB2"/>
    <w:rsid w:val="00281481"/>
    <w:rsid w:val="00284A81"/>
    <w:rsid w:val="002B756A"/>
    <w:rsid w:val="002D7703"/>
    <w:rsid w:val="002F236D"/>
    <w:rsid w:val="002F5808"/>
    <w:rsid w:val="00327BE0"/>
    <w:rsid w:val="00396086"/>
    <w:rsid w:val="003C6430"/>
    <w:rsid w:val="003D406F"/>
    <w:rsid w:val="003F6B1E"/>
    <w:rsid w:val="00424175"/>
    <w:rsid w:val="004362A7"/>
    <w:rsid w:val="0048396F"/>
    <w:rsid w:val="004B3F2C"/>
    <w:rsid w:val="00502A25"/>
    <w:rsid w:val="00523E3C"/>
    <w:rsid w:val="0054013F"/>
    <w:rsid w:val="00552EFB"/>
    <w:rsid w:val="005D1962"/>
    <w:rsid w:val="00615A1E"/>
    <w:rsid w:val="006673B5"/>
    <w:rsid w:val="00681ABF"/>
    <w:rsid w:val="00682039"/>
    <w:rsid w:val="00785529"/>
    <w:rsid w:val="00844C9A"/>
    <w:rsid w:val="00855BA3"/>
    <w:rsid w:val="00876A05"/>
    <w:rsid w:val="008E3583"/>
    <w:rsid w:val="009218EF"/>
    <w:rsid w:val="009B1A8F"/>
    <w:rsid w:val="009C4AE8"/>
    <w:rsid w:val="00A147ED"/>
    <w:rsid w:val="00A22581"/>
    <w:rsid w:val="00A25A47"/>
    <w:rsid w:val="00A366DE"/>
    <w:rsid w:val="00A9011C"/>
    <w:rsid w:val="00A968EC"/>
    <w:rsid w:val="00AF5E2E"/>
    <w:rsid w:val="00B01D7C"/>
    <w:rsid w:val="00B126F6"/>
    <w:rsid w:val="00B31B9E"/>
    <w:rsid w:val="00B5045E"/>
    <w:rsid w:val="00B57D9F"/>
    <w:rsid w:val="00BD1B75"/>
    <w:rsid w:val="00BD639B"/>
    <w:rsid w:val="00BD691D"/>
    <w:rsid w:val="00BE4F43"/>
    <w:rsid w:val="00C13605"/>
    <w:rsid w:val="00C435CE"/>
    <w:rsid w:val="00CB37E1"/>
    <w:rsid w:val="00CE610A"/>
    <w:rsid w:val="00D344A1"/>
    <w:rsid w:val="00D42B6B"/>
    <w:rsid w:val="00D45815"/>
    <w:rsid w:val="00D82977"/>
    <w:rsid w:val="00D82F3F"/>
    <w:rsid w:val="00DB0824"/>
    <w:rsid w:val="00DB1403"/>
    <w:rsid w:val="00E12158"/>
    <w:rsid w:val="00E24A06"/>
    <w:rsid w:val="00E54538"/>
    <w:rsid w:val="00E856D5"/>
    <w:rsid w:val="00EA7842"/>
    <w:rsid w:val="00EA78BE"/>
    <w:rsid w:val="00EB6963"/>
    <w:rsid w:val="00EC080D"/>
    <w:rsid w:val="00EC5EF1"/>
    <w:rsid w:val="00F40068"/>
    <w:rsid w:val="00F5385B"/>
    <w:rsid w:val="00F72641"/>
    <w:rsid w:val="00F81C88"/>
    <w:rsid w:val="00FD71E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1969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2020-12-10T17:25:00Z</cp:lastPrinted>
  <dcterms:created xsi:type="dcterms:W3CDTF">2020-12-10T17:44:00Z</dcterms:created>
  <dcterms:modified xsi:type="dcterms:W3CDTF">2020-12-10T17:44:00Z</dcterms:modified>
</cp:coreProperties>
</file>