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9A9" w:rsidRPr="008C59A9" w:rsidRDefault="008C59A9" w:rsidP="008C59A9">
      <w:pPr>
        <w:jc w:val="both"/>
        <w:rPr>
          <w:b/>
          <w:sz w:val="30"/>
          <w:szCs w:val="30"/>
        </w:rPr>
      </w:pPr>
      <w:r w:rsidRPr="008C59A9">
        <w:rPr>
          <w:b/>
          <w:sz w:val="30"/>
          <w:szCs w:val="30"/>
        </w:rPr>
        <w:t>TIRZEC®</w:t>
      </w:r>
    </w:p>
    <w:p w:rsidR="008C59A9" w:rsidRPr="008C59A9" w:rsidRDefault="008C59A9" w:rsidP="008C59A9">
      <w:pPr>
        <w:jc w:val="both"/>
        <w:rPr>
          <w:b/>
          <w:sz w:val="30"/>
          <w:szCs w:val="30"/>
        </w:rPr>
      </w:pPr>
      <w:r w:rsidRPr="008C59A9">
        <w:rPr>
          <w:b/>
          <w:sz w:val="30"/>
          <w:szCs w:val="30"/>
        </w:rPr>
        <w:t>TIRZEPATIDA</w:t>
      </w:r>
    </w:p>
    <w:p w:rsidR="008C59A9" w:rsidRPr="008C59A9" w:rsidRDefault="008C59A9" w:rsidP="008C59A9">
      <w:pPr>
        <w:jc w:val="both"/>
        <w:rPr>
          <w:b/>
        </w:rPr>
      </w:pPr>
      <w:r w:rsidRPr="008C59A9">
        <w:rPr>
          <w:b/>
        </w:rPr>
        <w:t>Solución Inyectable</w:t>
      </w:r>
    </w:p>
    <w:p w:rsidR="008C59A9" w:rsidRDefault="008C59A9" w:rsidP="008C59A9">
      <w:pPr>
        <w:jc w:val="both"/>
        <w:rPr>
          <w:b/>
        </w:rPr>
      </w:pPr>
      <w:r w:rsidRPr="008C59A9">
        <w:rPr>
          <w:b/>
        </w:rPr>
        <w:t>V.A.: Subcutánea</w:t>
      </w:r>
    </w:p>
    <w:p w:rsidR="008C59A9" w:rsidRPr="008C59A9" w:rsidRDefault="008C59A9" w:rsidP="008C59A9">
      <w:pPr>
        <w:jc w:val="both"/>
        <w:rPr>
          <w:b/>
          <w:sz w:val="20"/>
          <w:szCs w:val="20"/>
        </w:rPr>
      </w:pPr>
      <w:r w:rsidRPr="008C59A9">
        <w:rPr>
          <w:b/>
          <w:sz w:val="20"/>
          <w:szCs w:val="20"/>
        </w:rPr>
        <w:t>TIRZEC® 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7,5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Tirzepatida..............................................................................................7,5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10</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Cada 0,5mL de solución inyectable contiene:</w:t>
      </w:r>
    </w:p>
    <w:p w:rsidR="008C59A9" w:rsidRPr="008C59A9" w:rsidRDefault="008C59A9" w:rsidP="008C59A9">
      <w:pPr>
        <w:jc w:val="both"/>
        <w:rPr>
          <w:b/>
          <w:sz w:val="20"/>
          <w:szCs w:val="20"/>
        </w:rPr>
      </w:pPr>
      <w:r w:rsidRPr="008C59A9">
        <w:rPr>
          <w:b/>
          <w:sz w:val="20"/>
          <w:szCs w:val="20"/>
        </w:rPr>
        <w:t>Tirzepatida...............................................................................................10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12,5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Tirzepatida............................................................................................12,5 mg</w:t>
      </w:r>
    </w:p>
    <w:p w:rsidR="008C59A9" w:rsidRP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rPr>
          <w:b/>
          <w:sz w:val="20"/>
          <w:szCs w:val="20"/>
        </w:rPr>
      </w:pPr>
      <w:r w:rsidRPr="008C59A9">
        <w:rPr>
          <w:b/>
          <w:sz w:val="20"/>
          <w:szCs w:val="20"/>
        </w:rPr>
        <w:t>TIRZEC® 15</w:t>
      </w:r>
    </w:p>
    <w:p w:rsidR="008C59A9" w:rsidRPr="008C59A9" w:rsidRDefault="008C59A9" w:rsidP="008C59A9">
      <w:pPr>
        <w:jc w:val="both"/>
        <w:rPr>
          <w:b/>
          <w:sz w:val="20"/>
          <w:szCs w:val="20"/>
        </w:rPr>
      </w:pPr>
      <w:r w:rsidRPr="008C59A9">
        <w:rPr>
          <w:b/>
          <w:sz w:val="20"/>
          <w:szCs w:val="20"/>
        </w:rPr>
        <w:t>Fórmula:</w:t>
      </w:r>
    </w:p>
    <w:p w:rsidR="008C59A9" w:rsidRPr="008C59A9" w:rsidRDefault="008C59A9" w:rsidP="008C59A9">
      <w:pPr>
        <w:jc w:val="both"/>
        <w:rPr>
          <w:b/>
          <w:sz w:val="20"/>
          <w:szCs w:val="20"/>
        </w:rPr>
      </w:pPr>
      <w:r w:rsidRPr="008C59A9">
        <w:rPr>
          <w:b/>
          <w:sz w:val="20"/>
          <w:szCs w:val="20"/>
        </w:rPr>
        <w:t xml:space="preserve">Cada 0,5 </w:t>
      </w:r>
      <w:proofErr w:type="spellStart"/>
      <w:r w:rsidRPr="008C59A9">
        <w:rPr>
          <w:b/>
          <w:sz w:val="20"/>
          <w:szCs w:val="20"/>
        </w:rPr>
        <w:t>mL</w:t>
      </w:r>
      <w:proofErr w:type="spellEnd"/>
      <w:r w:rsidRPr="008C59A9">
        <w:rPr>
          <w:b/>
          <w:sz w:val="20"/>
          <w:szCs w:val="20"/>
        </w:rPr>
        <w:t xml:space="preserve"> de solución inyectable contiene:</w:t>
      </w:r>
    </w:p>
    <w:p w:rsidR="008C59A9" w:rsidRPr="008C59A9" w:rsidRDefault="008C59A9" w:rsidP="008C59A9">
      <w:pPr>
        <w:jc w:val="both"/>
        <w:rPr>
          <w:b/>
          <w:sz w:val="20"/>
          <w:szCs w:val="20"/>
        </w:rPr>
      </w:pPr>
      <w:r w:rsidRPr="008C59A9">
        <w:rPr>
          <w:b/>
          <w:sz w:val="20"/>
          <w:szCs w:val="20"/>
        </w:rPr>
        <w:t>Tirzepatida...............................................................................................15 mg</w:t>
      </w:r>
    </w:p>
    <w:p w:rsidR="008C59A9" w:rsidRDefault="008C59A9" w:rsidP="008C59A9">
      <w:pPr>
        <w:jc w:val="both"/>
        <w:rPr>
          <w:b/>
          <w:sz w:val="20"/>
          <w:szCs w:val="20"/>
        </w:rPr>
      </w:pPr>
      <w:r w:rsidRPr="008C59A9">
        <w:rPr>
          <w:b/>
          <w:sz w:val="20"/>
          <w:szCs w:val="20"/>
        </w:rPr>
        <w:t>Excipientes................................................................................................c.s.p.</w:t>
      </w:r>
    </w:p>
    <w:p w:rsidR="008C59A9" w:rsidRPr="008C59A9" w:rsidRDefault="008C59A9" w:rsidP="008C59A9">
      <w:pPr>
        <w:jc w:val="both"/>
        <w:rPr>
          <w:b/>
          <w:sz w:val="20"/>
          <w:szCs w:val="20"/>
        </w:rPr>
      </w:pPr>
    </w:p>
    <w:p w:rsidR="008C59A9" w:rsidRPr="008C59A9" w:rsidRDefault="008C59A9" w:rsidP="008C59A9">
      <w:pPr>
        <w:jc w:val="both"/>
      </w:pPr>
      <w:r w:rsidRPr="008C59A9">
        <w:t>ACCIÓN TERAPÉUTICA: Hipoglucemiante.</w:t>
      </w:r>
    </w:p>
    <w:p w:rsidR="008C59A9" w:rsidRPr="008C59A9" w:rsidRDefault="008C59A9" w:rsidP="008C59A9">
      <w:pPr>
        <w:jc w:val="both"/>
      </w:pPr>
    </w:p>
    <w:p w:rsidR="008C59A9" w:rsidRPr="008C59A9" w:rsidRDefault="008C59A9" w:rsidP="008C59A9">
      <w:pPr>
        <w:jc w:val="both"/>
      </w:pPr>
      <w:r w:rsidRPr="008C59A9">
        <w:t>MECANISMO DE ACCIÓN Y DATOS FARMACOCINÉTICOS:</w:t>
      </w:r>
    </w:p>
    <w:p w:rsidR="008C59A9" w:rsidRPr="008C59A9" w:rsidRDefault="008C59A9" w:rsidP="008C59A9">
      <w:pPr>
        <w:jc w:val="both"/>
      </w:pPr>
      <w:r w:rsidRPr="008C59A9">
        <w:t xml:space="preserve">Propiedades </w:t>
      </w:r>
      <w:proofErr w:type="spellStart"/>
      <w:r w:rsidRPr="008C59A9">
        <w:t>farmacodinámicas</w:t>
      </w:r>
      <w:proofErr w:type="spellEnd"/>
    </w:p>
    <w:p w:rsidR="008C59A9" w:rsidRPr="008C59A9" w:rsidRDefault="008C59A9" w:rsidP="008C59A9">
      <w:pPr>
        <w:jc w:val="both"/>
      </w:pPr>
      <w:r w:rsidRPr="008C59A9">
        <w:t xml:space="preserve">Grupo </w:t>
      </w:r>
      <w:proofErr w:type="spellStart"/>
      <w:r w:rsidRPr="008C59A9">
        <w:t>farmacoterapéutico</w:t>
      </w:r>
      <w:proofErr w:type="spellEnd"/>
      <w:r w:rsidRPr="008C59A9">
        <w:t>: Medicamentos utilizados en diabetes, fármacos hipoglucemiantes, excluyendo insulinas, código ATC: A10BX16.</w:t>
      </w:r>
    </w:p>
    <w:p w:rsidR="008C59A9" w:rsidRPr="008C59A9" w:rsidRDefault="008C59A9" w:rsidP="008C59A9">
      <w:pPr>
        <w:jc w:val="both"/>
      </w:pPr>
      <w:r w:rsidRPr="008C59A9">
        <w:t>Mecanismo de acción</w:t>
      </w:r>
    </w:p>
    <w:p w:rsidR="008C59A9" w:rsidRPr="008C59A9" w:rsidRDefault="008C59A9" w:rsidP="008C59A9">
      <w:pPr>
        <w:jc w:val="both"/>
      </w:pPr>
      <w:proofErr w:type="spellStart"/>
      <w:r w:rsidRPr="008C59A9">
        <w:t>Tirzepatida</w:t>
      </w:r>
      <w:proofErr w:type="spellEnd"/>
      <w:r w:rsidRPr="008C59A9">
        <w:t xml:space="preserve"> es un agonista de acción prolongada de los receptores GIP y GLP-1. Ambos receptores están presentes en las células endocrinas α y β del páncreas, corazón, </w:t>
      </w:r>
      <w:proofErr w:type="spellStart"/>
      <w:r w:rsidRPr="008C59A9">
        <w:t>vasculatura</w:t>
      </w:r>
      <w:proofErr w:type="spellEnd"/>
      <w:r w:rsidRPr="008C59A9">
        <w:t>, células inmunitarias (leucocitos), intestino y riñón. Los receptores GIP también están presentes en los adipocitos.</w:t>
      </w:r>
    </w:p>
    <w:p w:rsidR="008C59A9" w:rsidRPr="008C59A9" w:rsidRDefault="008C59A9" w:rsidP="008C59A9">
      <w:pPr>
        <w:jc w:val="both"/>
      </w:pPr>
      <w:r w:rsidRPr="008C59A9">
        <w:t xml:space="preserve">Además, tanto los receptores GIP como los GLP-1 se expresan en las zonas del cerebro importantes para la regulación del apetito. </w:t>
      </w:r>
    </w:p>
    <w:p w:rsidR="008C59A9" w:rsidRPr="008C59A9" w:rsidRDefault="008C59A9" w:rsidP="008C59A9">
      <w:pPr>
        <w:jc w:val="both"/>
      </w:pPr>
      <w:proofErr w:type="spellStart"/>
      <w:r w:rsidRPr="008C59A9">
        <w:t>Tirzepatida</w:t>
      </w:r>
      <w:proofErr w:type="spellEnd"/>
      <w:r w:rsidRPr="008C59A9">
        <w:t xml:space="preserve"> es altamente selectiva para los receptores GIP y GLP-1 humanos. </w:t>
      </w:r>
      <w:proofErr w:type="spellStart"/>
      <w:r w:rsidRPr="008C59A9">
        <w:t>Tirzepatida</w:t>
      </w:r>
      <w:proofErr w:type="spellEnd"/>
      <w:r w:rsidRPr="008C59A9">
        <w:t xml:space="preserve"> tiene una gran afinidad por los receptores GIP y GLP-1.</w:t>
      </w:r>
    </w:p>
    <w:p w:rsidR="008C59A9" w:rsidRPr="008C59A9" w:rsidRDefault="008C59A9" w:rsidP="008C59A9">
      <w:pPr>
        <w:jc w:val="both"/>
      </w:pPr>
      <w:r w:rsidRPr="008C59A9">
        <w:t xml:space="preserve">La actividad de </w:t>
      </w:r>
      <w:proofErr w:type="spellStart"/>
      <w:r w:rsidRPr="008C59A9">
        <w:t>tirzepatida</w:t>
      </w:r>
      <w:proofErr w:type="spellEnd"/>
      <w:r w:rsidRPr="008C59A9">
        <w:t xml:space="preserve"> sobre el receptor GIP es similar a la de la hormona GIP nativa. La actividad de </w:t>
      </w:r>
      <w:proofErr w:type="spellStart"/>
      <w:r w:rsidRPr="008C59A9">
        <w:t>tirzepatida</w:t>
      </w:r>
      <w:proofErr w:type="spellEnd"/>
      <w:r w:rsidRPr="008C59A9">
        <w:t xml:space="preserve"> sobre el receptor GLP-1 es inferior a la de la hormona GLP-1 nativa.</w:t>
      </w:r>
    </w:p>
    <w:p w:rsidR="008C59A9" w:rsidRPr="008C59A9" w:rsidRDefault="008C59A9" w:rsidP="008C59A9">
      <w:pPr>
        <w:jc w:val="both"/>
      </w:pPr>
      <w:r w:rsidRPr="008C59A9">
        <w:t>Control de la glucemia</w:t>
      </w:r>
    </w:p>
    <w:p w:rsidR="008C59A9" w:rsidRPr="008C59A9" w:rsidRDefault="008C59A9" w:rsidP="008C59A9">
      <w:pPr>
        <w:jc w:val="both"/>
      </w:pPr>
      <w:proofErr w:type="spellStart"/>
      <w:r w:rsidRPr="008C59A9">
        <w:t>Tirzepatida</w:t>
      </w:r>
      <w:proofErr w:type="spellEnd"/>
      <w:r w:rsidRPr="008C59A9">
        <w:t xml:space="preserve"> mejora el control glucémico al reducir las concentraciones de glucosa en ayunas y </w:t>
      </w:r>
      <w:proofErr w:type="spellStart"/>
      <w:r w:rsidRPr="008C59A9">
        <w:t>posprandiales</w:t>
      </w:r>
      <w:proofErr w:type="spellEnd"/>
      <w:r w:rsidRPr="008C59A9">
        <w:t xml:space="preserve"> en pacientes con diabetes tipo 2 a través de varios mecanismos.</w:t>
      </w:r>
    </w:p>
    <w:p w:rsidR="008C59A9" w:rsidRPr="008C59A9" w:rsidRDefault="008C59A9" w:rsidP="008C59A9">
      <w:pPr>
        <w:jc w:val="both"/>
      </w:pPr>
      <w:r w:rsidRPr="008C59A9">
        <w:t>Regulación del apetito y metabolismo energético</w:t>
      </w:r>
    </w:p>
    <w:p w:rsidR="008C59A9" w:rsidRPr="008C59A9" w:rsidRDefault="008C59A9" w:rsidP="008C59A9">
      <w:pPr>
        <w:jc w:val="both"/>
      </w:pPr>
      <w:proofErr w:type="spellStart"/>
      <w:r w:rsidRPr="008C59A9">
        <w:t>Tirzepatida</w:t>
      </w:r>
      <w:proofErr w:type="spellEnd"/>
      <w:r w:rsidRPr="008C59A9">
        <w:t xml:space="preserve"> reduce el peso corporal y la masa grasa corporal. Los mecanismos asociados a la reducción del peso corporal y de la masa grasa corporal implican una disminución de la ingesta de alimentos a través de la regulación del apetito. </w:t>
      </w:r>
    </w:p>
    <w:p w:rsidR="008C59A9" w:rsidRPr="008C59A9" w:rsidRDefault="008C59A9" w:rsidP="008C59A9">
      <w:pPr>
        <w:jc w:val="both"/>
      </w:pPr>
      <w:r w:rsidRPr="008C59A9">
        <w:t xml:space="preserve">Efectos </w:t>
      </w:r>
      <w:proofErr w:type="spellStart"/>
      <w:r w:rsidRPr="008C59A9">
        <w:t>farmacodinámicos</w:t>
      </w:r>
      <w:proofErr w:type="spellEnd"/>
    </w:p>
    <w:p w:rsidR="008C59A9" w:rsidRPr="008C59A9" w:rsidRDefault="008C59A9" w:rsidP="008C59A9">
      <w:pPr>
        <w:jc w:val="both"/>
      </w:pPr>
      <w:r w:rsidRPr="008C59A9">
        <w:t>Secreción de insulina</w:t>
      </w:r>
    </w:p>
    <w:p w:rsidR="008C59A9" w:rsidRPr="008C59A9" w:rsidRDefault="008C59A9" w:rsidP="008C59A9">
      <w:pPr>
        <w:jc w:val="both"/>
      </w:pPr>
      <w:proofErr w:type="spellStart"/>
      <w:r w:rsidRPr="008C59A9">
        <w:t>Tirzepatida</w:t>
      </w:r>
      <w:proofErr w:type="spellEnd"/>
      <w:r w:rsidRPr="008C59A9">
        <w:t xml:space="preserve"> aumenta la sensibilidad de las células β pancreáticas a la glucosa. Aumenta la primera y segunda fase de la secreción de insulina de un modo dependiente de la glucosa.</w:t>
      </w:r>
    </w:p>
    <w:p w:rsidR="008C59A9" w:rsidRPr="008C59A9" w:rsidRDefault="008C59A9" w:rsidP="008C59A9">
      <w:pPr>
        <w:jc w:val="both"/>
      </w:pPr>
      <w:r w:rsidRPr="008C59A9">
        <w:t>Sensibilidad a la insulina</w:t>
      </w:r>
    </w:p>
    <w:p w:rsidR="008C59A9" w:rsidRPr="008C59A9" w:rsidRDefault="008C59A9" w:rsidP="008C59A9">
      <w:pPr>
        <w:jc w:val="both"/>
      </w:pPr>
      <w:proofErr w:type="spellStart"/>
      <w:r w:rsidRPr="008C59A9">
        <w:t>Tirzepatida</w:t>
      </w:r>
      <w:proofErr w:type="spellEnd"/>
      <w:r w:rsidRPr="008C59A9">
        <w:t xml:space="preserve"> mejora la sensibilidad a la insulina.</w:t>
      </w:r>
    </w:p>
    <w:p w:rsidR="008C59A9" w:rsidRPr="008C59A9" w:rsidRDefault="008C59A9" w:rsidP="008C59A9">
      <w:pPr>
        <w:jc w:val="both"/>
      </w:pPr>
      <w:proofErr w:type="spellStart"/>
      <w:r w:rsidRPr="008C59A9">
        <w:t>Tirzepatida</w:t>
      </w:r>
      <w:proofErr w:type="spellEnd"/>
      <w:r w:rsidRPr="008C59A9">
        <w:t xml:space="preserve"> reduce el peso corporal en pacientes con obesidad y sobrepeso, y en pacientes con diabetes tipo 2 (independientemente del peso corporal), lo que puede contribuir a mejorar la sensibilidad a la insulina. La reducción de la ingesta de alimentos con </w:t>
      </w:r>
      <w:proofErr w:type="spellStart"/>
      <w:r w:rsidRPr="008C59A9">
        <w:t>tirzepatida</w:t>
      </w:r>
      <w:proofErr w:type="spellEnd"/>
      <w:r w:rsidRPr="008C59A9">
        <w:t xml:space="preserve"> contribuye a la pérdida del peso corporal. La reducción del peso corporal se debe principalmente a la reducción de la masa grasa.</w:t>
      </w:r>
    </w:p>
    <w:p w:rsidR="008C59A9" w:rsidRPr="008C59A9" w:rsidRDefault="008C59A9" w:rsidP="008C59A9">
      <w:pPr>
        <w:jc w:val="both"/>
      </w:pPr>
      <w:r w:rsidRPr="008C59A9">
        <w:t>Concentración de glucagón</w:t>
      </w:r>
    </w:p>
    <w:p w:rsidR="008C59A9" w:rsidRPr="008C59A9" w:rsidRDefault="008C59A9" w:rsidP="008C59A9">
      <w:pPr>
        <w:jc w:val="both"/>
      </w:pPr>
      <w:proofErr w:type="spellStart"/>
      <w:r w:rsidRPr="008C59A9">
        <w:t>Tirzepatida</w:t>
      </w:r>
      <w:proofErr w:type="spellEnd"/>
      <w:r w:rsidRPr="008C59A9">
        <w:t xml:space="preserve"> reduce las concentraciones de glucagón en ayunas y </w:t>
      </w:r>
      <w:proofErr w:type="spellStart"/>
      <w:r w:rsidRPr="008C59A9">
        <w:t>posprandiales</w:t>
      </w:r>
      <w:proofErr w:type="spellEnd"/>
      <w:r w:rsidRPr="008C59A9">
        <w:t xml:space="preserve"> de forma dependiente de la glucosa. </w:t>
      </w:r>
    </w:p>
    <w:p w:rsidR="008C59A9" w:rsidRPr="008C59A9" w:rsidRDefault="008C59A9" w:rsidP="008C59A9">
      <w:pPr>
        <w:jc w:val="both"/>
      </w:pPr>
      <w:r w:rsidRPr="008C59A9">
        <w:t>Vaciado gástrico</w:t>
      </w:r>
    </w:p>
    <w:p w:rsidR="008C59A9" w:rsidRPr="008C59A9" w:rsidRDefault="008C59A9" w:rsidP="008C59A9">
      <w:pPr>
        <w:jc w:val="both"/>
      </w:pPr>
      <w:proofErr w:type="spellStart"/>
      <w:r w:rsidRPr="008C59A9">
        <w:t>Tirzepatida</w:t>
      </w:r>
      <w:proofErr w:type="spellEnd"/>
      <w:r w:rsidRPr="008C59A9">
        <w:t xml:space="preserve"> retrasa el vaciado gástrico, lo que puede ralentizar la absorción de glucosa después de las comidas y puede tener un efecto beneficioso sobre la glucemia </w:t>
      </w:r>
      <w:proofErr w:type="spellStart"/>
      <w:r w:rsidRPr="008C59A9">
        <w:t>posprandial</w:t>
      </w:r>
      <w:proofErr w:type="spellEnd"/>
      <w:r w:rsidRPr="008C59A9">
        <w:t xml:space="preserve">. El retraso del vaciado gástrico inducido por </w:t>
      </w:r>
      <w:proofErr w:type="spellStart"/>
      <w:r w:rsidRPr="008C59A9">
        <w:t>tirzepatida</w:t>
      </w:r>
      <w:proofErr w:type="spellEnd"/>
      <w:r w:rsidRPr="008C59A9">
        <w:t xml:space="preserve"> disminuye con el tiempo.</w:t>
      </w:r>
    </w:p>
    <w:p w:rsidR="008C59A9" w:rsidRPr="008C59A9" w:rsidRDefault="008C59A9" w:rsidP="008C59A9">
      <w:pPr>
        <w:jc w:val="both"/>
      </w:pPr>
      <w:r w:rsidRPr="008C59A9">
        <w:t>Propiedades farmacocinéticas</w:t>
      </w:r>
    </w:p>
    <w:p w:rsidR="008C59A9" w:rsidRPr="008C59A9" w:rsidRDefault="008C59A9" w:rsidP="008C59A9">
      <w:pPr>
        <w:jc w:val="both"/>
      </w:pPr>
      <w:proofErr w:type="spellStart"/>
      <w:r w:rsidRPr="008C59A9">
        <w:t>Tirzepatida</w:t>
      </w:r>
      <w:proofErr w:type="spellEnd"/>
      <w:r w:rsidRPr="008C59A9">
        <w:t xml:space="preserve"> consta de 39 aminoácidos y tiene una fracción de </w:t>
      </w:r>
      <w:proofErr w:type="spellStart"/>
      <w:r w:rsidRPr="008C59A9">
        <w:t>diácido</w:t>
      </w:r>
      <w:proofErr w:type="spellEnd"/>
      <w:r w:rsidRPr="008C59A9">
        <w:t xml:space="preserve"> graso C20 adherida, lo que permite la unión a la albúmina y prolonga la semivida.</w:t>
      </w:r>
    </w:p>
    <w:p w:rsidR="008C59A9" w:rsidRPr="008C59A9" w:rsidRDefault="008C59A9" w:rsidP="008C59A9">
      <w:pPr>
        <w:jc w:val="both"/>
      </w:pPr>
      <w:r w:rsidRPr="008C59A9">
        <w:t>Absorción</w:t>
      </w:r>
    </w:p>
    <w:p w:rsidR="008C59A9" w:rsidRPr="008C59A9" w:rsidRDefault="008C59A9" w:rsidP="008C59A9">
      <w:pPr>
        <w:jc w:val="both"/>
      </w:pPr>
      <w:r w:rsidRPr="008C59A9">
        <w:t xml:space="preserve">La concentración máxima de </w:t>
      </w:r>
      <w:proofErr w:type="spellStart"/>
      <w:r w:rsidRPr="008C59A9">
        <w:t>tirzepatida</w:t>
      </w:r>
      <w:proofErr w:type="spellEnd"/>
      <w:r w:rsidRPr="008C59A9">
        <w:t xml:space="preserve"> se alcanza entre 8 y 72 horas después de la dosis. La exposición en estado estacionario se alcanza tras 4 semanas de administración semanal. La exposición a </w:t>
      </w:r>
      <w:proofErr w:type="spellStart"/>
      <w:r w:rsidRPr="008C59A9">
        <w:t>tirzepatida</w:t>
      </w:r>
      <w:proofErr w:type="spellEnd"/>
      <w:r w:rsidRPr="008C59A9">
        <w:t xml:space="preserve"> aumenta de forma proporcional a la dosis.</w:t>
      </w:r>
    </w:p>
    <w:p w:rsidR="008C59A9" w:rsidRPr="008C59A9" w:rsidRDefault="008C59A9" w:rsidP="008C59A9">
      <w:pPr>
        <w:jc w:val="both"/>
      </w:pPr>
      <w:r w:rsidRPr="008C59A9">
        <w:t xml:space="preserve">Se logra una exposición similar con la administración subcutánea de </w:t>
      </w:r>
      <w:proofErr w:type="spellStart"/>
      <w:r w:rsidRPr="008C59A9">
        <w:t>tirzepatida</w:t>
      </w:r>
      <w:proofErr w:type="spellEnd"/>
      <w:r w:rsidRPr="008C59A9">
        <w:t xml:space="preserve"> en el abdomen, el muslo o el brazo.</w:t>
      </w:r>
    </w:p>
    <w:p w:rsidR="008C59A9" w:rsidRPr="008C59A9" w:rsidRDefault="008C59A9" w:rsidP="008C59A9">
      <w:pPr>
        <w:jc w:val="both"/>
      </w:pPr>
      <w:r w:rsidRPr="008C59A9">
        <w:t xml:space="preserve">La biodisponibilidad absoluta de </w:t>
      </w:r>
      <w:proofErr w:type="spellStart"/>
      <w:r w:rsidRPr="008C59A9">
        <w:t>tirzepatida</w:t>
      </w:r>
      <w:proofErr w:type="spellEnd"/>
      <w:r w:rsidRPr="008C59A9">
        <w:t xml:space="preserve"> subcutánea es del 80 %.</w:t>
      </w:r>
    </w:p>
    <w:p w:rsidR="008C59A9" w:rsidRPr="008C59A9" w:rsidRDefault="008C59A9" w:rsidP="008C59A9">
      <w:pPr>
        <w:jc w:val="both"/>
      </w:pPr>
      <w:r w:rsidRPr="008C59A9">
        <w:t>Distribución</w:t>
      </w:r>
    </w:p>
    <w:p w:rsidR="008C59A9" w:rsidRPr="008C59A9" w:rsidRDefault="008C59A9" w:rsidP="008C59A9">
      <w:pPr>
        <w:jc w:val="both"/>
      </w:pPr>
      <w:r w:rsidRPr="008C59A9">
        <w:t xml:space="preserve">El volumen aparente de distribución medio en estado estacionario de </w:t>
      </w:r>
      <w:proofErr w:type="spellStart"/>
      <w:r w:rsidRPr="008C59A9">
        <w:t>tirzepatida</w:t>
      </w:r>
      <w:proofErr w:type="spellEnd"/>
      <w:r w:rsidRPr="008C59A9">
        <w:t xml:space="preserve"> tras la administración subcutánea en pacientes con diabetes tipo 2 es de aproximadamente 10,3 L y 9,7 L en pacientes con obesidad.</w:t>
      </w:r>
    </w:p>
    <w:p w:rsidR="008C59A9" w:rsidRPr="008C59A9" w:rsidRDefault="008C59A9" w:rsidP="008C59A9">
      <w:pPr>
        <w:jc w:val="both"/>
      </w:pPr>
      <w:proofErr w:type="spellStart"/>
      <w:r w:rsidRPr="008C59A9">
        <w:t>Tirzepatida</w:t>
      </w:r>
      <w:proofErr w:type="spellEnd"/>
      <w:r w:rsidRPr="008C59A9">
        <w:t xml:space="preserve"> está altamente unida a albúmina en plasma (99 %).</w:t>
      </w:r>
    </w:p>
    <w:p w:rsidR="008C59A9" w:rsidRPr="008C59A9" w:rsidRDefault="008C59A9" w:rsidP="008C59A9">
      <w:pPr>
        <w:jc w:val="both"/>
      </w:pPr>
      <w:proofErr w:type="spellStart"/>
      <w:r w:rsidRPr="008C59A9">
        <w:t>Biotransformación</w:t>
      </w:r>
      <w:proofErr w:type="spellEnd"/>
    </w:p>
    <w:p w:rsidR="008C59A9" w:rsidRPr="008C59A9" w:rsidRDefault="008C59A9" w:rsidP="008C59A9">
      <w:pPr>
        <w:jc w:val="both"/>
      </w:pPr>
      <w:proofErr w:type="spellStart"/>
      <w:r w:rsidRPr="008C59A9">
        <w:t>Tirzepatida</w:t>
      </w:r>
      <w:proofErr w:type="spellEnd"/>
      <w:r w:rsidRPr="008C59A9">
        <w:t xml:space="preserve"> se metaboliza por escisión proteolítica de la espina dorsal del péptido, beta-oxidación de la fracción de </w:t>
      </w:r>
      <w:proofErr w:type="spellStart"/>
      <w:r w:rsidRPr="008C59A9">
        <w:t>diácido</w:t>
      </w:r>
      <w:proofErr w:type="spellEnd"/>
      <w:r w:rsidRPr="008C59A9">
        <w:t xml:space="preserve"> graso de C20 e hidrólisis de amida.</w:t>
      </w:r>
    </w:p>
    <w:p w:rsidR="008C59A9" w:rsidRPr="008C59A9" w:rsidRDefault="008C59A9" w:rsidP="008C59A9">
      <w:pPr>
        <w:jc w:val="both"/>
      </w:pPr>
      <w:r w:rsidRPr="008C59A9">
        <w:t>Eliminación</w:t>
      </w:r>
    </w:p>
    <w:p w:rsidR="008C59A9" w:rsidRPr="008C59A9" w:rsidRDefault="008C59A9" w:rsidP="008C59A9">
      <w:pPr>
        <w:jc w:val="both"/>
      </w:pPr>
      <w:r w:rsidRPr="008C59A9">
        <w:t xml:space="preserve">El aclaramiento aparente medio poblacional de </w:t>
      </w:r>
      <w:proofErr w:type="spellStart"/>
      <w:r w:rsidRPr="008C59A9">
        <w:t>tirzepatida</w:t>
      </w:r>
      <w:proofErr w:type="spellEnd"/>
      <w:r w:rsidRPr="008C59A9">
        <w:t xml:space="preserve"> es aproximadamente de 0,06 L/h con una semivida de eliminación de aproximadamente 5 días, lo que permite una administración semanal.</w:t>
      </w:r>
    </w:p>
    <w:p w:rsidR="008C59A9" w:rsidRPr="008C59A9" w:rsidRDefault="008C59A9" w:rsidP="008C59A9">
      <w:pPr>
        <w:jc w:val="both"/>
      </w:pPr>
      <w:proofErr w:type="spellStart"/>
      <w:r w:rsidRPr="008C59A9">
        <w:t>Tirzepatida</w:t>
      </w:r>
      <w:proofErr w:type="spellEnd"/>
      <w:r w:rsidRPr="008C59A9">
        <w:t xml:space="preserve"> se elimina por el metabolismo. Las principales vías de excreción de los metabolitos de </w:t>
      </w:r>
      <w:proofErr w:type="spellStart"/>
      <w:r w:rsidRPr="008C59A9">
        <w:t>tirzepatida</w:t>
      </w:r>
      <w:proofErr w:type="spellEnd"/>
      <w:r w:rsidRPr="008C59A9">
        <w:t xml:space="preserve"> son la orina y las heces. No se observa </w:t>
      </w:r>
      <w:proofErr w:type="spellStart"/>
      <w:r w:rsidRPr="008C59A9">
        <w:t>tirzepatida</w:t>
      </w:r>
      <w:proofErr w:type="spellEnd"/>
      <w:r w:rsidRPr="008C59A9">
        <w:t xml:space="preserve"> intacta en la orina ni en las heces.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sexo, raza, etnia, peso corporal</w:t>
      </w:r>
    </w:p>
    <w:p w:rsidR="008C59A9" w:rsidRPr="008C59A9" w:rsidRDefault="008C59A9" w:rsidP="008C59A9">
      <w:pPr>
        <w:jc w:val="both"/>
      </w:pPr>
      <w:r w:rsidRPr="008C59A9">
        <w:t xml:space="preserve">La edad, el sexo, la raza, la etnia o el peso corporal no tienen un efecto clínicamente relevante sobre la farmacocinética (PK, por sus siglas en inglés) de </w:t>
      </w:r>
      <w:proofErr w:type="spellStart"/>
      <w:r w:rsidRPr="008C59A9">
        <w:t>tirzepatida</w:t>
      </w:r>
      <w:proofErr w:type="spellEnd"/>
      <w:r w:rsidRPr="008C59A9">
        <w:t xml:space="preserve">.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La insuficiencia renal no afecta a la PK de </w:t>
      </w:r>
      <w:proofErr w:type="spellStart"/>
      <w:r w:rsidRPr="008C59A9">
        <w:t>tirzepatida</w:t>
      </w:r>
      <w:proofErr w:type="spellEnd"/>
      <w:r w:rsidRPr="008C59A9">
        <w:t xml:space="preserve">. </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La insuficiencia hepática no afecta a la PK de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proofErr w:type="spellStart"/>
      <w:r w:rsidRPr="008C59A9">
        <w:t>Tirzepatida</w:t>
      </w:r>
      <w:proofErr w:type="spellEnd"/>
      <w:r w:rsidRPr="008C59A9">
        <w:t xml:space="preserve"> no se ha estudiado en pacientes pediátricos.</w:t>
      </w:r>
    </w:p>
    <w:p w:rsidR="008C59A9" w:rsidRPr="008C59A9" w:rsidRDefault="008C59A9" w:rsidP="008C59A9">
      <w:pPr>
        <w:jc w:val="both"/>
      </w:pPr>
    </w:p>
    <w:p w:rsidR="008C59A9" w:rsidRPr="008C59A9" w:rsidRDefault="008C59A9" w:rsidP="008C59A9">
      <w:pPr>
        <w:jc w:val="both"/>
      </w:pPr>
      <w:r w:rsidRPr="008C59A9">
        <w:t>INDICACIONES TERAPÉUTICAS:</w:t>
      </w:r>
    </w:p>
    <w:p w:rsidR="008C59A9" w:rsidRPr="008C59A9" w:rsidRDefault="008C59A9" w:rsidP="008C59A9">
      <w:pPr>
        <w:jc w:val="both"/>
      </w:pPr>
      <w:r w:rsidRPr="008C59A9">
        <w:t>Diabetes mellitus tipo 2</w:t>
      </w:r>
    </w:p>
    <w:p w:rsidR="008C59A9" w:rsidRPr="008C59A9" w:rsidRDefault="008C59A9" w:rsidP="008C59A9">
      <w:pPr>
        <w:jc w:val="both"/>
      </w:pPr>
      <w:proofErr w:type="spellStart"/>
      <w:r w:rsidRPr="008C59A9">
        <w:t>Tirzepatida</w:t>
      </w:r>
      <w:proofErr w:type="spellEnd"/>
      <w:r w:rsidRPr="008C59A9">
        <w:t xml:space="preserve"> está indicado para el tratamiento de adultos con diabetes mellitus tipo 2 no suficientemente controlada asociado a dieta y ejercicio.</w:t>
      </w:r>
    </w:p>
    <w:p w:rsidR="008C59A9" w:rsidRPr="008C59A9" w:rsidRDefault="008C59A9" w:rsidP="008C59A9">
      <w:pPr>
        <w:jc w:val="both"/>
      </w:pPr>
      <w:r w:rsidRPr="008C59A9">
        <w:t xml:space="preserve">• En monoterapia cuando </w:t>
      </w:r>
      <w:proofErr w:type="spellStart"/>
      <w:r w:rsidRPr="008C59A9">
        <w:t>metformina</w:t>
      </w:r>
      <w:proofErr w:type="spellEnd"/>
      <w:r w:rsidRPr="008C59A9">
        <w:t xml:space="preserve"> no se considera apropiada debido a intolerancia o contraindicaciones.</w:t>
      </w:r>
    </w:p>
    <w:p w:rsidR="008C59A9" w:rsidRPr="008C59A9" w:rsidRDefault="008C59A9" w:rsidP="008C59A9">
      <w:pPr>
        <w:jc w:val="both"/>
      </w:pPr>
      <w:r w:rsidRPr="008C59A9">
        <w:t>• Añadido a otros medicamentos para el tratamiento de la diabetes.</w:t>
      </w:r>
    </w:p>
    <w:p w:rsidR="008C59A9" w:rsidRPr="008C59A9" w:rsidRDefault="008C59A9" w:rsidP="008C59A9">
      <w:pPr>
        <w:jc w:val="both"/>
      </w:pPr>
      <w:r w:rsidRPr="008C59A9">
        <w:t>Control del peso</w:t>
      </w:r>
    </w:p>
    <w:p w:rsidR="008C59A9" w:rsidRPr="008C59A9" w:rsidRDefault="008C59A9" w:rsidP="008C59A9">
      <w:pPr>
        <w:jc w:val="both"/>
      </w:pPr>
      <w:proofErr w:type="spellStart"/>
      <w:r w:rsidRPr="008C59A9">
        <w:t>Tirzepatida</w:t>
      </w:r>
      <w:proofErr w:type="spellEnd"/>
      <w:r w:rsidRPr="008C59A9">
        <w:t xml:space="preserve"> está indicado como complemento a una dieta baja en calorías y a un aumento de la actividad física para el control del peso, incluida la pérdida y el mantenimiento del peso, en adultos con un Índice de Masa Corporal (IMC) inicial de</w:t>
      </w:r>
    </w:p>
    <w:p w:rsidR="008C59A9" w:rsidRPr="008C59A9" w:rsidRDefault="008C59A9" w:rsidP="008C59A9">
      <w:pPr>
        <w:jc w:val="both"/>
      </w:pPr>
      <w:r w:rsidRPr="008C59A9">
        <w:t>• ≥ 30 kg/m2 (obesidad) o</w:t>
      </w:r>
    </w:p>
    <w:p w:rsidR="008C59A9" w:rsidRPr="008C59A9" w:rsidRDefault="008C59A9" w:rsidP="008C59A9">
      <w:pPr>
        <w:jc w:val="both"/>
      </w:pPr>
      <w:r w:rsidRPr="008C59A9">
        <w:t xml:space="preserve">• ≥ 27 kg/m2 a &lt; 30 kg/m2 (sobrepeso) en presencia de al menos una comorbilidad relacionada con el peso (por ejemplo, hipertensión, </w:t>
      </w:r>
      <w:proofErr w:type="spellStart"/>
      <w:r w:rsidRPr="008C59A9">
        <w:t>dislipidemia</w:t>
      </w:r>
      <w:proofErr w:type="spellEnd"/>
      <w:r w:rsidRPr="008C59A9">
        <w:t>, apnea obstructiva del sueño, enfermedad cardiovascular, prediabetes o diabetes mellitus tipo 2).</w:t>
      </w:r>
    </w:p>
    <w:p w:rsidR="008C59A9" w:rsidRPr="008C59A9" w:rsidRDefault="008C59A9" w:rsidP="008C59A9">
      <w:pPr>
        <w:jc w:val="both"/>
      </w:pPr>
    </w:p>
    <w:p w:rsidR="008C59A9" w:rsidRPr="008C59A9" w:rsidRDefault="008C59A9" w:rsidP="008C59A9">
      <w:pPr>
        <w:jc w:val="both"/>
      </w:pPr>
      <w:r w:rsidRPr="008C59A9">
        <w:t>CONTRAINDICACIONES:</w:t>
      </w:r>
    </w:p>
    <w:p w:rsidR="008C59A9" w:rsidRPr="008C59A9" w:rsidRDefault="008C59A9" w:rsidP="008C59A9">
      <w:pPr>
        <w:jc w:val="both"/>
      </w:pPr>
      <w:r w:rsidRPr="008C59A9">
        <w:t>Hipersensibilidad al principio activo o a alguno de los excipientes.</w:t>
      </w:r>
    </w:p>
    <w:p w:rsidR="008C59A9" w:rsidRPr="008C59A9" w:rsidRDefault="008C59A9" w:rsidP="008C59A9">
      <w:pPr>
        <w:jc w:val="both"/>
      </w:pPr>
      <w:r w:rsidRPr="008C59A9">
        <w:t>Pacientes con insuficiencia renal severa.</w:t>
      </w:r>
    </w:p>
    <w:p w:rsidR="008C59A9" w:rsidRPr="008C59A9" w:rsidRDefault="008C59A9" w:rsidP="008C59A9">
      <w:pPr>
        <w:jc w:val="both"/>
      </w:pPr>
      <w:r w:rsidRPr="008C59A9">
        <w:t>Mujeres embarazadas o en periodo de lactancia (ver Restricción de Uso).</w:t>
      </w:r>
    </w:p>
    <w:p w:rsidR="008C59A9" w:rsidRPr="008C59A9" w:rsidRDefault="008C59A9" w:rsidP="008C59A9">
      <w:pPr>
        <w:jc w:val="both"/>
      </w:pPr>
      <w:r w:rsidRPr="008C59A9">
        <w:t>Pacientes con historial de Cáncer Medular de Tiroides (ver Precauciones y advertencias).</w:t>
      </w:r>
    </w:p>
    <w:p w:rsidR="008C59A9" w:rsidRPr="008C59A9" w:rsidRDefault="008C59A9" w:rsidP="008C59A9">
      <w:pPr>
        <w:jc w:val="both"/>
      </w:pPr>
    </w:p>
    <w:p w:rsidR="008C59A9" w:rsidRPr="008C59A9" w:rsidRDefault="008C59A9" w:rsidP="008C59A9">
      <w:pPr>
        <w:jc w:val="both"/>
      </w:pPr>
      <w:r w:rsidRPr="008C59A9">
        <w:t>POSOLOGÍA Y MODO DE USO:</w:t>
      </w:r>
    </w:p>
    <w:p w:rsidR="008C59A9" w:rsidRPr="008C59A9" w:rsidRDefault="008C59A9" w:rsidP="008C59A9">
      <w:pPr>
        <w:jc w:val="both"/>
      </w:pPr>
      <w:r w:rsidRPr="008C59A9">
        <w:t>Posología</w:t>
      </w:r>
    </w:p>
    <w:p w:rsidR="008C59A9" w:rsidRPr="008C59A9" w:rsidRDefault="008C59A9" w:rsidP="008C59A9">
      <w:pPr>
        <w:jc w:val="both"/>
      </w:pPr>
      <w:r w:rsidRPr="008C59A9">
        <w:t xml:space="preserve">La dosis inicial es de 2,5 mg de </w:t>
      </w:r>
      <w:proofErr w:type="spellStart"/>
      <w:r w:rsidRPr="008C59A9">
        <w:t>tirzepatida</w:t>
      </w:r>
      <w:proofErr w:type="spellEnd"/>
      <w:r w:rsidRPr="008C59A9">
        <w:t xml:space="preserve"> una vez por semana. Después de 4 semanas, se debe aumentar la dosis a 5 mg una vez a la semana. Si es necesario, se puede aumentar la dosis en incrementos de 2,5 mg después de un mínimo de 4 semanas con la dosis actual.</w:t>
      </w:r>
    </w:p>
    <w:p w:rsidR="008C59A9" w:rsidRPr="008C59A9" w:rsidRDefault="008C59A9" w:rsidP="008C59A9">
      <w:pPr>
        <w:jc w:val="both"/>
      </w:pPr>
      <w:r w:rsidRPr="008C59A9">
        <w:t>Las dosis de mantenimiento recomendadas son 5 mg, 10 mg y 15 mg.</w:t>
      </w:r>
    </w:p>
    <w:p w:rsidR="008C59A9" w:rsidRPr="008C59A9" w:rsidRDefault="008C59A9" w:rsidP="008C59A9">
      <w:pPr>
        <w:jc w:val="both"/>
      </w:pPr>
      <w:r w:rsidRPr="008C59A9">
        <w:t>La dosis máxima es 15 mg una vez a la semana.</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metformina</w:t>
      </w:r>
      <w:proofErr w:type="spellEnd"/>
      <w:r w:rsidRPr="008C59A9">
        <w:t xml:space="preserve"> y/o inhibidores del </w:t>
      </w:r>
      <w:proofErr w:type="spellStart"/>
      <w:r w:rsidRPr="008C59A9">
        <w:t>cotransportador</w:t>
      </w:r>
      <w:proofErr w:type="spellEnd"/>
      <w:r w:rsidRPr="008C59A9">
        <w:t xml:space="preserve"> de sodio-glucosa tipo 2 (SGLT2i), se puede mantener la dosis actual de </w:t>
      </w:r>
      <w:proofErr w:type="spellStart"/>
      <w:r w:rsidRPr="008C59A9">
        <w:t>metformina</w:t>
      </w:r>
      <w:proofErr w:type="spellEnd"/>
      <w:r w:rsidRPr="008C59A9">
        <w:t xml:space="preserve"> y/o SGLT2i.</w:t>
      </w:r>
    </w:p>
    <w:p w:rsidR="008C59A9" w:rsidRPr="008C59A9" w:rsidRDefault="008C59A9" w:rsidP="008C59A9">
      <w:pPr>
        <w:jc w:val="both"/>
      </w:pPr>
      <w:r w:rsidRPr="008C59A9">
        <w:t xml:space="preserve">Cuando </w:t>
      </w:r>
      <w:proofErr w:type="spellStart"/>
      <w:r w:rsidRPr="008C59A9">
        <w:t>tirzepatida</w:t>
      </w:r>
      <w:proofErr w:type="spellEnd"/>
      <w:r w:rsidRPr="008C59A9">
        <w:t xml:space="preserve"> se añade a un tratamiento previo con </w:t>
      </w:r>
      <w:proofErr w:type="spellStart"/>
      <w:r w:rsidRPr="008C59A9">
        <w:t>sulfonilurea</w:t>
      </w:r>
      <w:proofErr w:type="spellEnd"/>
      <w:r w:rsidRPr="008C59A9">
        <w:t xml:space="preserve"> y/o insulina, se puede considerar una reducción de la dosis de </w:t>
      </w:r>
      <w:proofErr w:type="spellStart"/>
      <w:r w:rsidRPr="008C59A9">
        <w:t>sulfonilurea</w:t>
      </w:r>
      <w:proofErr w:type="spellEnd"/>
      <w:r w:rsidRPr="008C59A9">
        <w:t xml:space="preserve"> o insulina para reducir el riesgo de hipoglucemia. Es necesario realizar autocontroles de la glucemia para ajustar la dosis de </w:t>
      </w:r>
      <w:proofErr w:type="spellStart"/>
      <w:r w:rsidRPr="008C59A9">
        <w:t>sulfonilurea</w:t>
      </w:r>
      <w:proofErr w:type="spellEnd"/>
      <w:r w:rsidRPr="008C59A9">
        <w:t xml:space="preserve"> e insulina. Se recomienda una reducción gradual de la dosis de insulina.</w:t>
      </w:r>
    </w:p>
    <w:p w:rsidR="008C59A9" w:rsidRPr="008C59A9" w:rsidRDefault="008C59A9" w:rsidP="008C59A9">
      <w:pPr>
        <w:jc w:val="both"/>
      </w:pPr>
      <w:r w:rsidRPr="008C59A9">
        <w:t>Dosis olvidadas</w:t>
      </w:r>
    </w:p>
    <w:p w:rsidR="008C59A9" w:rsidRPr="008C59A9" w:rsidRDefault="008C59A9" w:rsidP="008C59A9">
      <w:pPr>
        <w:jc w:val="both"/>
      </w:pPr>
      <w:r w:rsidRPr="008C59A9">
        <w:t>Si se olvida una dosis, ésta se debe administrar tan pronto como sea posible dentro de los 4 días siguientes a la dosis olvidada. Si han transcurrido más de 4 días, se debe omitir la dosis olvidada y la siguiente dosis se debe administrar de forma habitual en el día programado. En ambos casos, los pacientes pueden continuar con su dosis semanal programada.</w:t>
      </w:r>
    </w:p>
    <w:p w:rsidR="008C59A9" w:rsidRPr="008C59A9" w:rsidRDefault="008C59A9" w:rsidP="008C59A9">
      <w:pPr>
        <w:jc w:val="both"/>
      </w:pPr>
      <w:r w:rsidRPr="008C59A9">
        <w:t>Cambio del día de administración</w:t>
      </w:r>
    </w:p>
    <w:p w:rsidR="008C59A9" w:rsidRPr="008C59A9" w:rsidRDefault="008C59A9" w:rsidP="008C59A9">
      <w:pPr>
        <w:jc w:val="both"/>
      </w:pPr>
      <w:r w:rsidRPr="008C59A9">
        <w:t>El día de administración semanal puede cambiarse si es necesario, siempre que el tiempo entre dos dosis sea de al menos 3 días.</w:t>
      </w:r>
    </w:p>
    <w:p w:rsidR="008C59A9" w:rsidRPr="008C59A9" w:rsidRDefault="008C59A9" w:rsidP="008C59A9">
      <w:pPr>
        <w:jc w:val="both"/>
      </w:pPr>
      <w:r w:rsidRPr="008C59A9">
        <w:t>Poblaciones especiales</w:t>
      </w:r>
    </w:p>
    <w:p w:rsidR="008C59A9" w:rsidRPr="008C59A9" w:rsidRDefault="008C59A9" w:rsidP="008C59A9">
      <w:pPr>
        <w:jc w:val="both"/>
      </w:pPr>
      <w:r w:rsidRPr="008C59A9">
        <w:t>Edad avanzada, sexo, raza, etnia o peso corporal</w:t>
      </w:r>
    </w:p>
    <w:p w:rsidR="008C59A9" w:rsidRPr="008C59A9" w:rsidRDefault="008C59A9" w:rsidP="008C59A9">
      <w:pPr>
        <w:jc w:val="both"/>
      </w:pPr>
      <w:r w:rsidRPr="008C59A9">
        <w:t xml:space="preserve">No es necesario un ajuste de dosis en función de la edad, el sexo, la raza, la etnia o el peso corporal (ver Propiedades farmacocinéticas). </w:t>
      </w:r>
    </w:p>
    <w:p w:rsidR="008C59A9" w:rsidRPr="008C59A9" w:rsidRDefault="008C59A9" w:rsidP="008C59A9">
      <w:pPr>
        <w:jc w:val="both"/>
      </w:pPr>
      <w:r w:rsidRPr="008C59A9">
        <w:t>Insuficiencia renal</w:t>
      </w:r>
    </w:p>
    <w:p w:rsidR="008C59A9" w:rsidRPr="008C59A9" w:rsidRDefault="008C59A9" w:rsidP="008C59A9">
      <w:pPr>
        <w:jc w:val="both"/>
      </w:pPr>
      <w:r w:rsidRPr="008C59A9">
        <w:t xml:space="preserve">No es necesario un ajuste de dosis en pacientes con insuficiencia renal, incluyendo la enfermedad renal en fase terminal (ESRD). La información respecto al uso de </w:t>
      </w:r>
      <w:proofErr w:type="spellStart"/>
      <w:r w:rsidRPr="008C59A9">
        <w:t>tirzepatida</w:t>
      </w:r>
      <w:proofErr w:type="spellEnd"/>
      <w:r w:rsidRPr="008C59A9">
        <w:t xml:space="preserve"> en pacientes con insuficiencia renal grave y ESRD es limitada.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Insuficiencia hepática</w:t>
      </w:r>
    </w:p>
    <w:p w:rsidR="008C59A9" w:rsidRPr="008C59A9" w:rsidRDefault="008C59A9" w:rsidP="008C59A9">
      <w:pPr>
        <w:jc w:val="both"/>
      </w:pPr>
      <w:r w:rsidRPr="008C59A9">
        <w:t xml:space="preserve">No es necesario un ajuste de dosis en pacientes con insuficiencia hepática. Existe información limitada con el uso de </w:t>
      </w:r>
      <w:proofErr w:type="spellStart"/>
      <w:r w:rsidRPr="008C59A9">
        <w:t>tirzepatida</w:t>
      </w:r>
      <w:proofErr w:type="spellEnd"/>
      <w:r w:rsidRPr="008C59A9">
        <w:t xml:space="preserve"> en pacientes con insuficiencia hepática grave. Se debe tener precaución al tratar a estos pacientes con </w:t>
      </w:r>
      <w:proofErr w:type="spellStart"/>
      <w:r w:rsidRPr="008C59A9">
        <w:t>tirzepatida</w:t>
      </w:r>
      <w:proofErr w:type="spellEnd"/>
      <w:r w:rsidRPr="008C59A9">
        <w:t>.</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niños menores de 18 años. No se dispone de datos.</w:t>
      </w:r>
    </w:p>
    <w:p w:rsidR="008C59A9" w:rsidRPr="008C59A9" w:rsidRDefault="008C59A9" w:rsidP="008C59A9">
      <w:pPr>
        <w:jc w:val="both"/>
      </w:pPr>
    </w:p>
    <w:p w:rsidR="008C59A9" w:rsidRPr="008C59A9" w:rsidRDefault="008C59A9" w:rsidP="008C59A9">
      <w:pPr>
        <w:jc w:val="both"/>
      </w:pPr>
      <w:r w:rsidRPr="008C59A9">
        <w:t>Forma de administración</w:t>
      </w:r>
    </w:p>
    <w:p w:rsidR="008C59A9" w:rsidRPr="008C59A9" w:rsidRDefault="008C59A9" w:rsidP="008C59A9">
      <w:pPr>
        <w:jc w:val="both"/>
      </w:pPr>
      <w:proofErr w:type="spellStart"/>
      <w:r w:rsidRPr="008C59A9">
        <w:t>Tirzepatida</w:t>
      </w:r>
      <w:proofErr w:type="spellEnd"/>
      <w:r w:rsidRPr="008C59A9">
        <w:t xml:space="preserve"> se inyecta por vía subcutánea en el abdomen, muslo o parte superior del brazo.</w:t>
      </w:r>
    </w:p>
    <w:p w:rsidR="008C59A9" w:rsidRPr="008C59A9" w:rsidRDefault="008C59A9" w:rsidP="008C59A9">
      <w:pPr>
        <w:jc w:val="both"/>
      </w:pPr>
      <w:r w:rsidRPr="008C59A9">
        <w:t>La dosis puede ser administrada en cualquier momento del día, con o sin comida.</w:t>
      </w:r>
    </w:p>
    <w:p w:rsidR="008C59A9" w:rsidRPr="008C59A9" w:rsidRDefault="008C59A9" w:rsidP="008C59A9">
      <w:pPr>
        <w:jc w:val="both"/>
      </w:pPr>
      <w:r w:rsidRPr="008C59A9">
        <w:t xml:space="preserve">Las zonas de inyección se deben rotar con cada dosis. Si el paciente también se inyecta insulina, debe inyectar </w:t>
      </w:r>
      <w:proofErr w:type="spellStart"/>
      <w:r w:rsidRPr="008C59A9">
        <w:t>Tirzepatida</w:t>
      </w:r>
      <w:proofErr w:type="spellEnd"/>
      <w:r w:rsidRPr="008C59A9">
        <w:t xml:space="preserve"> en una zona de inyección diferente.</w:t>
      </w:r>
    </w:p>
    <w:p w:rsidR="008C59A9" w:rsidRPr="008C59A9" w:rsidRDefault="008C59A9" w:rsidP="008C59A9">
      <w:pPr>
        <w:jc w:val="both"/>
      </w:pPr>
      <w:r w:rsidRPr="008C59A9">
        <w:t xml:space="preserve">Este medicamento se presenta como vial </w:t>
      </w:r>
      <w:proofErr w:type="spellStart"/>
      <w:r w:rsidRPr="008C59A9">
        <w:t>multidosis</w:t>
      </w:r>
      <w:proofErr w:type="spellEnd"/>
      <w:r w:rsidRPr="008C59A9">
        <w:t xml:space="preserve"> acompañada de jeringas estériles de 1 </w:t>
      </w:r>
      <w:proofErr w:type="spellStart"/>
      <w:r w:rsidRPr="008C59A9">
        <w:t>mL</w:t>
      </w:r>
      <w:proofErr w:type="spellEnd"/>
      <w:r w:rsidRPr="008C59A9">
        <w:t xml:space="preserve"> con aguja.</w:t>
      </w:r>
    </w:p>
    <w:p w:rsidR="008C59A9" w:rsidRPr="008C59A9" w:rsidRDefault="008C59A9" w:rsidP="008C59A9">
      <w:pPr>
        <w:jc w:val="both"/>
      </w:pPr>
      <w:r w:rsidRPr="008C59A9">
        <w:t>Lea detenidamente las instrucciones de uso antes de administrar el medicamento.</w:t>
      </w:r>
    </w:p>
    <w:p w:rsidR="008C59A9" w:rsidRPr="008C59A9" w:rsidRDefault="008C59A9" w:rsidP="008C59A9">
      <w:pPr>
        <w:jc w:val="both"/>
      </w:pPr>
    </w:p>
    <w:p w:rsidR="008C59A9" w:rsidRPr="008C59A9" w:rsidRDefault="008C59A9" w:rsidP="008C59A9">
      <w:pPr>
        <w:jc w:val="both"/>
      </w:pPr>
      <w:r w:rsidRPr="008C59A9">
        <w:t>Instrucciones de uso</w:t>
      </w:r>
    </w:p>
    <w:p w:rsidR="008C59A9" w:rsidRPr="008C59A9" w:rsidRDefault="008C59A9" w:rsidP="008C59A9">
      <w:pPr>
        <w:jc w:val="both"/>
      </w:pPr>
      <w:r w:rsidRPr="008C59A9">
        <w:t xml:space="preserve">Para la aplicación seguir las indicaciones detalladas a continuación: </w:t>
      </w:r>
    </w:p>
    <w:p w:rsidR="008C59A9" w:rsidRPr="008C59A9" w:rsidRDefault="008C59A9" w:rsidP="008C59A9">
      <w:pPr>
        <w:jc w:val="both"/>
      </w:pPr>
      <w:r w:rsidRPr="008C59A9">
        <w:t>1- Desinfecte el tapón del vial con el algodón y alcohol.</w:t>
      </w:r>
    </w:p>
    <w:p w:rsidR="008C59A9" w:rsidRPr="008C59A9" w:rsidRDefault="008C59A9" w:rsidP="008C59A9">
      <w:pPr>
        <w:jc w:val="both"/>
      </w:pPr>
      <w:r w:rsidRPr="008C59A9">
        <w:t>2- Llene la jeringa de aire igual a la dosis deseada jalando el embolo de la jeringa.</w:t>
      </w:r>
    </w:p>
    <w:p w:rsidR="008C59A9" w:rsidRPr="008C59A9" w:rsidRDefault="008C59A9" w:rsidP="008C59A9">
      <w:pPr>
        <w:jc w:val="both"/>
      </w:pPr>
      <w:r w:rsidRPr="008C59A9">
        <w:t>3- Inyecte el aire en el vial.</w:t>
      </w:r>
    </w:p>
    <w:p w:rsidR="008C59A9" w:rsidRPr="008C59A9" w:rsidRDefault="008C59A9" w:rsidP="008C59A9">
      <w:pPr>
        <w:jc w:val="both"/>
      </w:pPr>
      <w:r w:rsidRPr="008C59A9">
        <w:t>4- Sumerja la punta de la aguja en el líquido y jala el embolo para llenarla con la dosis indicada.</w:t>
      </w:r>
    </w:p>
    <w:p w:rsidR="008C59A9" w:rsidRPr="008C59A9" w:rsidRDefault="008C59A9" w:rsidP="008C59A9">
      <w:pPr>
        <w:jc w:val="both"/>
      </w:pPr>
      <w:r w:rsidRPr="008C59A9">
        <w:t>5- Golpee la jeringa con los dedos empujando ligeramente el embolo para retirar las burbujas de aire.</w:t>
      </w:r>
    </w:p>
    <w:p w:rsidR="008C59A9" w:rsidRPr="008C59A9" w:rsidRDefault="008C59A9" w:rsidP="008C59A9">
      <w:pPr>
        <w:jc w:val="both"/>
      </w:pPr>
      <w:r w:rsidRPr="008C59A9">
        <w:t>6- Extraiga la aguja del vial.</w:t>
      </w:r>
    </w:p>
    <w:p w:rsidR="008C59A9" w:rsidRPr="008C59A9" w:rsidRDefault="008C59A9" w:rsidP="008C59A9">
      <w:pPr>
        <w:jc w:val="both"/>
      </w:pPr>
      <w:r w:rsidRPr="008C59A9">
        <w:t>7- Seleccione el área de aplicación, este puede ser abdomen o muslo, desinfecte con el algodón y alcohol.</w:t>
      </w:r>
    </w:p>
    <w:p w:rsidR="008C59A9" w:rsidRPr="008C59A9" w:rsidRDefault="008C59A9" w:rsidP="008C59A9">
      <w:pPr>
        <w:jc w:val="both"/>
      </w:pPr>
      <w:r w:rsidRPr="008C59A9">
        <w:t>8- Estire la piel con una mano e inyecte la aguja en un ángulo de 45°. Empuje el embolo para inyectar la solución.</w:t>
      </w:r>
    </w:p>
    <w:p w:rsidR="008C59A9" w:rsidRPr="008C59A9" w:rsidRDefault="008C59A9" w:rsidP="008C59A9">
      <w:pPr>
        <w:jc w:val="both"/>
      </w:pPr>
      <w:r w:rsidRPr="008C59A9">
        <w:t>9- Aplique nuevamente el algodón y alcohol en la superficie sin masajear la zona.</w:t>
      </w:r>
    </w:p>
    <w:p w:rsidR="008C59A9" w:rsidRDefault="008C59A9" w:rsidP="008C59A9">
      <w:pPr>
        <w:jc w:val="both"/>
      </w:pPr>
      <w:r w:rsidRPr="008C59A9">
        <w:t>10- Descarte la aguja en un contenedor para objetos punzantes.</w:t>
      </w:r>
    </w:p>
    <w:p w:rsidR="008C59A9" w:rsidRPr="008C59A9" w:rsidRDefault="008C59A9" w:rsidP="008C59A9">
      <w:pPr>
        <w:jc w:val="both"/>
      </w:pPr>
      <w:r>
        <w:rPr>
          <w:noProof/>
          <w:lang w:eastAsia="es-PY"/>
        </w:rPr>
        <w:drawing>
          <wp:inline distT="0" distB="0" distL="0" distR="0" wp14:anchorId="770417A6">
            <wp:extent cx="4783228" cy="20403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815" cy="2052108"/>
                    </a:xfrm>
                    <a:prstGeom prst="rect">
                      <a:avLst/>
                    </a:prstGeom>
                    <a:noFill/>
                  </pic:spPr>
                </pic:pic>
              </a:graphicData>
            </a:graphic>
          </wp:inline>
        </w:drawing>
      </w:r>
    </w:p>
    <w:p w:rsidR="008C59A9" w:rsidRPr="008C59A9" w:rsidRDefault="008C59A9" w:rsidP="008C59A9">
      <w:pPr>
        <w:jc w:val="both"/>
      </w:pPr>
    </w:p>
    <w:p w:rsidR="008C59A9" w:rsidRPr="008C59A9" w:rsidRDefault="008C59A9" w:rsidP="008C59A9">
      <w:pPr>
        <w:jc w:val="both"/>
      </w:pPr>
    </w:p>
    <w:p w:rsidR="008C59A9" w:rsidRPr="008C59A9" w:rsidRDefault="008C59A9" w:rsidP="008C59A9">
      <w:pPr>
        <w:jc w:val="both"/>
      </w:pPr>
      <w:bookmarkStart w:id="0" w:name="_GoBack"/>
      <w:bookmarkEnd w:id="0"/>
      <w:r w:rsidRPr="008C59A9">
        <w:t xml:space="preserve">Conservación del producto una vez iniciado el tratamiento: Luego de cada aplicación de la dosis indicada del producto, la solución remanente en el vial </w:t>
      </w:r>
      <w:proofErr w:type="spellStart"/>
      <w:r w:rsidRPr="008C59A9">
        <w:t>multidosis</w:t>
      </w:r>
      <w:proofErr w:type="spellEnd"/>
      <w:r w:rsidRPr="008C59A9">
        <w:t xml:space="preserve"> se debe conservar refrigerado (entre 2º y 8º C).</w:t>
      </w:r>
    </w:p>
    <w:p w:rsidR="008C59A9" w:rsidRPr="008C59A9" w:rsidRDefault="008C59A9" w:rsidP="008C59A9">
      <w:pPr>
        <w:jc w:val="both"/>
      </w:pPr>
      <w:r w:rsidRPr="008C59A9">
        <w:t>Periodo de validez del producto una vez abierto: 4 semanas.</w:t>
      </w:r>
    </w:p>
    <w:p w:rsidR="008C59A9" w:rsidRPr="008C59A9" w:rsidRDefault="008C59A9" w:rsidP="008C59A9">
      <w:pPr>
        <w:jc w:val="both"/>
      </w:pPr>
    </w:p>
    <w:p w:rsidR="008C59A9" w:rsidRPr="008C59A9" w:rsidRDefault="008C59A9" w:rsidP="008C59A9">
      <w:pPr>
        <w:jc w:val="both"/>
      </w:pPr>
      <w:r w:rsidRPr="008C59A9">
        <w:t>PRECAUCIONES Y ADVERTENCIAS:</w:t>
      </w:r>
    </w:p>
    <w:p w:rsidR="008C59A9" w:rsidRPr="008C59A9" w:rsidRDefault="008C59A9" w:rsidP="008C59A9">
      <w:pPr>
        <w:jc w:val="both"/>
      </w:pPr>
      <w:r w:rsidRPr="008C59A9">
        <w:t>Pancreatitis aguda</w:t>
      </w:r>
    </w:p>
    <w:p w:rsidR="008C59A9" w:rsidRPr="008C59A9" w:rsidRDefault="008C59A9" w:rsidP="008C59A9">
      <w:pPr>
        <w:jc w:val="both"/>
      </w:pPr>
      <w:proofErr w:type="spellStart"/>
      <w:r w:rsidRPr="008C59A9">
        <w:t>Tirzepatida</w:t>
      </w:r>
      <w:proofErr w:type="spellEnd"/>
      <w:r w:rsidRPr="008C59A9">
        <w:t xml:space="preserve"> no se dispone de datos en pacientes con antecedentes de pancreatitis y se debe utilizar con precaución en estos pacientes.</w:t>
      </w:r>
    </w:p>
    <w:p w:rsidR="008C59A9" w:rsidRPr="008C59A9" w:rsidRDefault="008C59A9" w:rsidP="008C59A9">
      <w:pPr>
        <w:jc w:val="both"/>
      </w:pPr>
      <w:r w:rsidRPr="008C59A9">
        <w:t xml:space="preserve">Puede aparecer pancreatitis aguda en los pacientes tratados con </w:t>
      </w:r>
      <w:proofErr w:type="spellStart"/>
      <w:r w:rsidRPr="008C59A9">
        <w:t>tirzepatida</w:t>
      </w:r>
      <w:proofErr w:type="spellEnd"/>
      <w:r w:rsidRPr="008C59A9">
        <w:t xml:space="preserve">. Se debe informar a los pacientes de los síntomas de pancreatitis aguda. Ante la sospecha de pancreatitis, se debe interrumpir la administración de </w:t>
      </w:r>
      <w:proofErr w:type="spellStart"/>
      <w:r w:rsidRPr="008C59A9">
        <w:t>tirzepatida</w:t>
      </w:r>
      <w:proofErr w:type="spellEnd"/>
      <w:r w:rsidRPr="008C59A9">
        <w:t xml:space="preserve">. Si se confirma el diagnóstico de pancreatitis, no se debe reanudar la administración de </w:t>
      </w:r>
      <w:proofErr w:type="spellStart"/>
      <w:r w:rsidRPr="008C59A9">
        <w:t>tirzepatida</w:t>
      </w:r>
      <w:proofErr w:type="spellEnd"/>
      <w:r w:rsidRPr="008C59A9">
        <w:t>. En ausencia de otros signos y síntomas de pancreatitis aguda, las elevaciones de enzimas pancreáticas por sí solas no son predictivas de pancreatitis aguda.</w:t>
      </w:r>
    </w:p>
    <w:p w:rsidR="008C59A9" w:rsidRPr="008C59A9" w:rsidRDefault="008C59A9" w:rsidP="008C59A9">
      <w:pPr>
        <w:jc w:val="both"/>
      </w:pPr>
      <w:r w:rsidRPr="008C59A9">
        <w:t>Malignidad Pancreática</w:t>
      </w:r>
    </w:p>
    <w:p w:rsidR="008C59A9" w:rsidRPr="008C59A9" w:rsidRDefault="008C59A9" w:rsidP="008C59A9">
      <w:pPr>
        <w:jc w:val="both"/>
      </w:pPr>
      <w:r w:rsidRPr="008C59A9">
        <w:t xml:space="preserve">Los datos no clínicos para </w:t>
      </w:r>
      <w:proofErr w:type="spellStart"/>
      <w:r w:rsidRPr="008C59A9">
        <w:t>tirzepatida</w:t>
      </w:r>
      <w:proofErr w:type="spellEnd"/>
      <w:r w:rsidRPr="008C59A9">
        <w:t xml:space="preserve"> no indicaron ninguna </w:t>
      </w:r>
      <w:proofErr w:type="spellStart"/>
      <w:r w:rsidRPr="008C59A9">
        <w:t>mutagenicidad</w:t>
      </w:r>
      <w:proofErr w:type="spellEnd"/>
      <w:r w:rsidRPr="008C59A9">
        <w:t xml:space="preserve"> o </w:t>
      </w:r>
      <w:proofErr w:type="spellStart"/>
      <w:r w:rsidRPr="008C59A9">
        <w:t>genotoxicidad</w:t>
      </w:r>
      <w:proofErr w:type="spellEnd"/>
      <w:r w:rsidRPr="008C59A9">
        <w:t>, la promoción de tumores por agonista de GLP-1 de acción prolongada se ha propuesto como una preocupación para estos tratamientos debido a su acción para estimular crónicamente los receptores de GLP-1, particularmente en la células C tiroides y el páncreas, por lo que se recomienda tener en cuenta antecedes previos y familiares en el paciente antes de iniciar su uso.</w:t>
      </w:r>
    </w:p>
    <w:p w:rsidR="008C59A9" w:rsidRPr="008C59A9" w:rsidRDefault="008C59A9" w:rsidP="008C59A9">
      <w:pPr>
        <w:jc w:val="both"/>
      </w:pPr>
      <w:r w:rsidRPr="008C59A9">
        <w:t>Hipoglucemia</w:t>
      </w:r>
    </w:p>
    <w:p w:rsidR="008C59A9" w:rsidRPr="008C59A9" w:rsidRDefault="008C59A9" w:rsidP="008C59A9">
      <w:pPr>
        <w:jc w:val="both"/>
      </w:pPr>
      <w:r w:rsidRPr="008C59A9">
        <w:t xml:space="preserve">Los pacientes que reciben </w:t>
      </w:r>
      <w:proofErr w:type="spellStart"/>
      <w:r w:rsidRPr="008C59A9">
        <w:t>tirzepatida</w:t>
      </w:r>
      <w:proofErr w:type="spellEnd"/>
      <w:r w:rsidRPr="008C59A9">
        <w:t xml:space="preserve"> en combinación con un </w:t>
      </w:r>
      <w:proofErr w:type="spellStart"/>
      <w:r w:rsidRPr="008C59A9">
        <w:t>secretagogo</w:t>
      </w:r>
      <w:proofErr w:type="spellEnd"/>
      <w:r w:rsidRPr="008C59A9">
        <w:t xml:space="preserve"> de insulina (por ejemplo, una </w:t>
      </w:r>
      <w:proofErr w:type="spellStart"/>
      <w:r w:rsidRPr="008C59A9">
        <w:t>sulfonilurea</w:t>
      </w:r>
      <w:proofErr w:type="spellEnd"/>
      <w:r w:rsidRPr="008C59A9">
        <w:t xml:space="preserve">) o insulina pueden tener un mayor riesgo de hipoglucemia. El riesgo de hipoglucemia se puede disminuir reduciendo la dosis del </w:t>
      </w:r>
      <w:proofErr w:type="spellStart"/>
      <w:r w:rsidRPr="008C59A9">
        <w:t>secretagogo</w:t>
      </w:r>
      <w:proofErr w:type="spellEnd"/>
      <w:r w:rsidRPr="008C59A9">
        <w:t xml:space="preserve"> de insulina o de la insulina.</w:t>
      </w:r>
    </w:p>
    <w:p w:rsidR="008C59A9" w:rsidRPr="008C59A9" w:rsidRDefault="008C59A9" w:rsidP="008C59A9">
      <w:pPr>
        <w:jc w:val="both"/>
      </w:pPr>
      <w:r w:rsidRPr="008C59A9">
        <w:t>Efectos gastrointestinales</w:t>
      </w:r>
    </w:p>
    <w:p w:rsidR="008C59A9" w:rsidRPr="008C59A9" w:rsidRDefault="008C59A9" w:rsidP="008C59A9">
      <w:pPr>
        <w:jc w:val="both"/>
      </w:pPr>
      <w:proofErr w:type="spellStart"/>
      <w:r w:rsidRPr="008C59A9">
        <w:t>Tirzepatida</w:t>
      </w:r>
      <w:proofErr w:type="spellEnd"/>
      <w:r w:rsidRPr="008C59A9">
        <w:t xml:space="preserve"> se ha asociado a reacciones adversas gastrointestinales, que incluyen náuseas, vómitos y diarrea (ver Reacciones adversas). Estas reacciones adversas pueden conducir a la deshidratación, que podría llevar a un deterioro de la función renal, incluyendo la insuficiencia renal aguda. Se debe informar a los pacientes tratados con </w:t>
      </w:r>
      <w:proofErr w:type="spellStart"/>
      <w:r w:rsidRPr="008C59A9">
        <w:t>tirzepatida</w:t>
      </w:r>
      <w:proofErr w:type="spellEnd"/>
      <w:r w:rsidRPr="008C59A9">
        <w:t xml:space="preserve"> sobre el riesgo potencial de deshidratación debido a las reacciones adversas gastrointestinales y tomar precauciones para evitar la depleción de líquidos y alteraciones de electrolitos. Esto se debe tener especialmente en cuenta en personas de edad avanzada, que pueden ser más susceptibles a estas complicaciones.</w:t>
      </w:r>
    </w:p>
    <w:p w:rsidR="008C59A9" w:rsidRPr="008C59A9" w:rsidRDefault="008C59A9" w:rsidP="008C59A9">
      <w:pPr>
        <w:jc w:val="both"/>
      </w:pPr>
      <w:r w:rsidRPr="008C59A9">
        <w:t>Enfermedad gastrointestinal grave</w:t>
      </w:r>
    </w:p>
    <w:p w:rsidR="008C59A9" w:rsidRPr="008C59A9" w:rsidRDefault="008C59A9" w:rsidP="008C59A9">
      <w:pPr>
        <w:jc w:val="both"/>
      </w:pPr>
      <w:proofErr w:type="spellStart"/>
      <w:r w:rsidRPr="008C59A9">
        <w:t>Tirzepatida</w:t>
      </w:r>
      <w:proofErr w:type="spellEnd"/>
      <w:r w:rsidRPr="008C59A9">
        <w:t xml:space="preserve"> no se ha estudiado en pacientes con enfermedad gastrointestinal grave, incluyendo </w:t>
      </w:r>
      <w:proofErr w:type="spellStart"/>
      <w:r w:rsidRPr="008C59A9">
        <w:t>gastroparesia</w:t>
      </w:r>
      <w:proofErr w:type="spellEnd"/>
      <w:r w:rsidRPr="008C59A9">
        <w:t xml:space="preserve"> grave, y se debe utilizar con precaución en estos pacientes.</w:t>
      </w:r>
    </w:p>
    <w:p w:rsidR="008C59A9" w:rsidRPr="008C59A9" w:rsidRDefault="008C59A9" w:rsidP="008C59A9">
      <w:pPr>
        <w:jc w:val="both"/>
      </w:pPr>
      <w:r w:rsidRPr="008C59A9">
        <w:t>Retinopatía diabética</w:t>
      </w:r>
    </w:p>
    <w:p w:rsidR="008C59A9" w:rsidRPr="008C59A9" w:rsidRDefault="008C59A9" w:rsidP="008C59A9">
      <w:pPr>
        <w:jc w:val="both"/>
      </w:pPr>
      <w:proofErr w:type="spellStart"/>
      <w:r w:rsidRPr="008C59A9">
        <w:t>Tirzepatida</w:t>
      </w:r>
      <w:proofErr w:type="spellEnd"/>
      <w:r w:rsidRPr="008C59A9">
        <w:t xml:space="preserve"> no se ha estudiado en pacientes con retinopatía diabética no proliferativa que requiera un tratamiento agudo, retinopatía diabética proliferativa o edema macular diabético, y se debe utilizar con precaución en estos pacientes con una monitorización adecuada.</w:t>
      </w:r>
    </w:p>
    <w:p w:rsidR="008C59A9" w:rsidRPr="008C59A9" w:rsidRDefault="008C59A9" w:rsidP="008C59A9">
      <w:pPr>
        <w:jc w:val="both"/>
      </w:pPr>
      <w:r w:rsidRPr="008C59A9">
        <w:t>Cáncer medular de tiroides</w:t>
      </w:r>
    </w:p>
    <w:p w:rsidR="008C59A9" w:rsidRPr="008C59A9" w:rsidRDefault="008C59A9" w:rsidP="008C59A9">
      <w:pPr>
        <w:jc w:val="both"/>
      </w:pPr>
      <w:r w:rsidRPr="008C59A9">
        <w:t xml:space="preserve">Según datos bibliográficos, en ensayos pre-clínicos en animales, </w:t>
      </w:r>
      <w:proofErr w:type="spellStart"/>
      <w:r w:rsidRPr="008C59A9">
        <w:t>Tirzepatida</w:t>
      </w:r>
      <w:proofErr w:type="spellEnd"/>
      <w:r w:rsidRPr="008C59A9">
        <w:t xml:space="preserve"> provocó un aumento de los tumores de células C de las tiroides (adenomas y carcinomas) en todas las dosis en comparación con los controles. Se desconoce la relevancia de estos hallazgos en humanos, por lo que se recomienda monitorizar la función tiroidea en pacientes con antecedentes familiares de la enfermedad.</w:t>
      </w:r>
    </w:p>
    <w:p w:rsidR="008C59A9" w:rsidRPr="008C59A9" w:rsidRDefault="008C59A9" w:rsidP="008C59A9">
      <w:pPr>
        <w:jc w:val="both"/>
      </w:pPr>
    </w:p>
    <w:p w:rsidR="008C59A9" w:rsidRPr="008C59A9" w:rsidRDefault="008C59A9" w:rsidP="008C59A9">
      <w:pPr>
        <w:jc w:val="both"/>
      </w:pPr>
      <w:r w:rsidRPr="008C59A9">
        <w:t>Advertencia sobre excipientes</w:t>
      </w:r>
    </w:p>
    <w:p w:rsidR="008C59A9" w:rsidRPr="008C59A9" w:rsidRDefault="008C59A9" w:rsidP="008C59A9">
      <w:pPr>
        <w:jc w:val="both"/>
      </w:pPr>
      <w:r w:rsidRPr="008C59A9">
        <w:t xml:space="preserve">Contenido de sodio: Este medicamento contiene menos de 1 </w:t>
      </w:r>
      <w:proofErr w:type="spellStart"/>
      <w:r w:rsidRPr="008C59A9">
        <w:t>mmol</w:t>
      </w:r>
      <w:proofErr w:type="spellEnd"/>
      <w:r w:rsidRPr="008C59A9">
        <w:t xml:space="preserve"> de sodio (23 mg) por dosis; esto es, esencialmente “exento de sodio".</w:t>
      </w:r>
    </w:p>
    <w:p w:rsidR="008C59A9" w:rsidRPr="008C59A9" w:rsidRDefault="008C59A9" w:rsidP="008C59A9">
      <w:pPr>
        <w:jc w:val="both"/>
      </w:pPr>
    </w:p>
    <w:p w:rsidR="008C59A9" w:rsidRPr="008C59A9" w:rsidRDefault="008C59A9" w:rsidP="008C59A9">
      <w:pPr>
        <w:jc w:val="both"/>
      </w:pPr>
      <w:r w:rsidRPr="008C59A9">
        <w:t>REACCIONES ADVERSAS Y EFECTOS COLATERALES:</w:t>
      </w:r>
    </w:p>
    <w:p w:rsidR="008C59A9" w:rsidRPr="008C59A9" w:rsidRDefault="008C59A9" w:rsidP="008C59A9">
      <w:pPr>
        <w:jc w:val="both"/>
      </w:pPr>
      <w:r w:rsidRPr="008C59A9">
        <w:t>Las reacciones adversas que pueden aparecer con mayor frecuencia son trastornos gastrointestinales, incluyendo náuseas (muy frecuentes), diarrea (muy frecuente), estreñimiento (frecuente) y vómitos (frecuentes). En general, estas reacciones son en su mayoría de intensidad leve o moderada y se producen con mayor frecuencia durante el aumento de la dosis y disminuyen con el tiempo.</w:t>
      </w:r>
    </w:p>
    <w:p w:rsidR="008C59A9" w:rsidRPr="008C59A9" w:rsidRDefault="008C59A9" w:rsidP="008C59A9">
      <w:pPr>
        <w:jc w:val="both"/>
      </w:pPr>
      <w:r w:rsidRPr="008C59A9">
        <w:t>Se listan según la clasificación por órganos y sistemas y en orden de incidencia decreciente (muy frecuente: ≥ 1/10; frecuentes: ≥ 1/100 a &lt; 1/10; poco frecuentes: ≥ 1/1 000 a &lt; 1/100; raras: ≥ 1/10 000 a &lt; 1/1 000; muy raras: &lt; 1/10 000). Dentro de cada grupo de incidencia, las reacciones adversas se presentan en orden decreciente de frecuencia.</w:t>
      </w:r>
    </w:p>
    <w:p w:rsidR="008C59A9" w:rsidRPr="008C59A9" w:rsidRDefault="008C59A9" w:rsidP="008C59A9">
      <w:pPr>
        <w:jc w:val="both"/>
      </w:pPr>
      <w:r w:rsidRPr="008C59A9">
        <w:t>Clasificación por órganos y sistemas</w:t>
      </w:r>
    </w:p>
    <w:p w:rsidR="008C59A9" w:rsidRPr="008C59A9" w:rsidRDefault="008C59A9" w:rsidP="008C59A9">
      <w:pPr>
        <w:jc w:val="both"/>
      </w:pPr>
      <w:r w:rsidRPr="008C59A9">
        <w:t>Trastornos del sistema inmunológico</w:t>
      </w:r>
    </w:p>
    <w:p w:rsidR="008C59A9" w:rsidRPr="008C59A9" w:rsidRDefault="008C59A9" w:rsidP="008C59A9">
      <w:pPr>
        <w:jc w:val="both"/>
      </w:pPr>
      <w:r w:rsidRPr="008C59A9">
        <w:t>Frecuentes: Reacciones de Hipersensibilidad.</w:t>
      </w:r>
    </w:p>
    <w:p w:rsidR="008C59A9" w:rsidRPr="008C59A9" w:rsidRDefault="008C59A9" w:rsidP="008C59A9">
      <w:pPr>
        <w:jc w:val="both"/>
      </w:pPr>
      <w:r w:rsidRPr="008C59A9">
        <w:t xml:space="preserve">Raras: Reacción anafiláctica, </w:t>
      </w:r>
      <w:proofErr w:type="spellStart"/>
      <w:r w:rsidRPr="008C59A9">
        <w:t>angioedema</w:t>
      </w:r>
      <w:proofErr w:type="spellEnd"/>
      <w:r w:rsidRPr="008C59A9">
        <w:t>.</w:t>
      </w:r>
    </w:p>
    <w:p w:rsidR="008C59A9" w:rsidRPr="008C59A9" w:rsidRDefault="008C59A9" w:rsidP="008C59A9">
      <w:pPr>
        <w:jc w:val="both"/>
      </w:pPr>
      <w:r w:rsidRPr="008C59A9">
        <w:t>Trastornos del metabolismo y de la nutrición</w:t>
      </w:r>
    </w:p>
    <w:p w:rsidR="008C59A9" w:rsidRPr="008C59A9" w:rsidRDefault="008C59A9" w:rsidP="008C59A9">
      <w:pPr>
        <w:jc w:val="both"/>
      </w:pPr>
      <w:r w:rsidRPr="008C59A9">
        <w:t xml:space="preserve">Muy frecuentes: Hipoglucemia1* cuando se usa con </w:t>
      </w:r>
      <w:proofErr w:type="spellStart"/>
      <w:r w:rsidRPr="008C59A9">
        <w:t>sulfonilurea</w:t>
      </w:r>
      <w:proofErr w:type="spellEnd"/>
      <w:r w:rsidRPr="008C59A9">
        <w:t xml:space="preserve"> o insulina.</w:t>
      </w:r>
    </w:p>
    <w:p w:rsidR="008C59A9" w:rsidRPr="008C59A9" w:rsidRDefault="008C59A9" w:rsidP="008C59A9">
      <w:pPr>
        <w:jc w:val="both"/>
      </w:pPr>
      <w:r w:rsidRPr="008C59A9">
        <w:t xml:space="preserve">Frecuentes: Hipoglucemia1* cuando se usa con </w:t>
      </w:r>
      <w:proofErr w:type="spellStart"/>
      <w:r w:rsidRPr="008C59A9">
        <w:t>metformina</w:t>
      </w:r>
      <w:proofErr w:type="spellEnd"/>
      <w:r w:rsidRPr="008C59A9">
        <w:t xml:space="preserve"> y SGLT2i, disminución del apetito1.</w:t>
      </w:r>
    </w:p>
    <w:p w:rsidR="008C59A9" w:rsidRPr="008C59A9" w:rsidRDefault="008C59A9" w:rsidP="008C59A9">
      <w:pPr>
        <w:jc w:val="both"/>
      </w:pPr>
      <w:r w:rsidRPr="008C59A9">
        <w:t xml:space="preserve">Poco frecuentes: Hipoglucemia1* cuando se usa con </w:t>
      </w:r>
      <w:proofErr w:type="spellStart"/>
      <w:r w:rsidRPr="008C59A9">
        <w:t>metformina</w:t>
      </w:r>
      <w:proofErr w:type="spellEnd"/>
      <w:r w:rsidRPr="008C59A9">
        <w:t>, disminución del peso1.</w:t>
      </w:r>
    </w:p>
    <w:p w:rsidR="008C59A9" w:rsidRPr="008C59A9" w:rsidRDefault="008C59A9" w:rsidP="008C59A9">
      <w:pPr>
        <w:jc w:val="both"/>
      </w:pPr>
      <w:r w:rsidRPr="008C59A9">
        <w:t>Trastornos del sistema nervioso</w:t>
      </w:r>
    </w:p>
    <w:p w:rsidR="008C59A9" w:rsidRPr="008C59A9" w:rsidRDefault="008C59A9" w:rsidP="008C59A9">
      <w:pPr>
        <w:jc w:val="both"/>
      </w:pPr>
      <w:r w:rsidRPr="008C59A9">
        <w:t>Frecuentes: Mareos2.</w:t>
      </w:r>
    </w:p>
    <w:p w:rsidR="008C59A9" w:rsidRPr="008C59A9" w:rsidRDefault="008C59A9" w:rsidP="008C59A9">
      <w:pPr>
        <w:jc w:val="both"/>
      </w:pPr>
      <w:r w:rsidRPr="008C59A9">
        <w:t>Trastornos Vasculares.</w:t>
      </w:r>
    </w:p>
    <w:p w:rsidR="008C59A9" w:rsidRPr="008C59A9" w:rsidRDefault="008C59A9" w:rsidP="008C59A9">
      <w:pPr>
        <w:jc w:val="both"/>
      </w:pPr>
      <w:r w:rsidRPr="008C59A9">
        <w:t>Frecuentes: Hipotensión2.</w:t>
      </w:r>
    </w:p>
    <w:p w:rsidR="008C59A9" w:rsidRPr="008C59A9" w:rsidRDefault="008C59A9" w:rsidP="008C59A9">
      <w:pPr>
        <w:jc w:val="both"/>
      </w:pPr>
      <w:r w:rsidRPr="008C59A9">
        <w:t>Trastornos gastrointestinales</w:t>
      </w:r>
    </w:p>
    <w:p w:rsidR="008C59A9" w:rsidRPr="008C59A9" w:rsidRDefault="008C59A9" w:rsidP="008C59A9">
      <w:pPr>
        <w:jc w:val="both"/>
      </w:pPr>
      <w:r w:rsidRPr="008C59A9">
        <w:t>Muy frecuentes: Náuseas, diarrea.</w:t>
      </w:r>
    </w:p>
    <w:p w:rsidR="008C59A9" w:rsidRPr="008C59A9" w:rsidRDefault="008C59A9" w:rsidP="008C59A9">
      <w:pPr>
        <w:jc w:val="both"/>
      </w:pPr>
      <w:r w:rsidRPr="008C59A9">
        <w:t>Frecuentes: Dolor abdominal, vómitos, dispepsia, estreñimiento, distensión abdominal, eructos, flatulencia, enfermedad por reflujo gastroesofágico.</w:t>
      </w:r>
    </w:p>
    <w:p w:rsidR="008C59A9" w:rsidRPr="008C59A9" w:rsidRDefault="008C59A9" w:rsidP="008C59A9">
      <w:pPr>
        <w:jc w:val="both"/>
      </w:pPr>
      <w:r w:rsidRPr="008C59A9">
        <w:t>Poco frecuente: Colelitiasis, colecistitis, pancreatitis aguda.</w:t>
      </w:r>
    </w:p>
    <w:p w:rsidR="008C59A9" w:rsidRPr="008C59A9" w:rsidRDefault="008C59A9" w:rsidP="008C59A9">
      <w:pPr>
        <w:jc w:val="both"/>
      </w:pPr>
      <w:r w:rsidRPr="008C59A9">
        <w:t>Trastornos de la piel y del tejido subcutáneo</w:t>
      </w:r>
    </w:p>
    <w:p w:rsidR="008C59A9" w:rsidRPr="008C59A9" w:rsidRDefault="008C59A9" w:rsidP="008C59A9">
      <w:pPr>
        <w:jc w:val="both"/>
      </w:pPr>
      <w:r w:rsidRPr="008C59A9">
        <w:t>Frecuentes: Pérdida de cabello2.</w:t>
      </w:r>
    </w:p>
    <w:p w:rsidR="008C59A9" w:rsidRPr="008C59A9" w:rsidRDefault="008C59A9" w:rsidP="008C59A9">
      <w:pPr>
        <w:jc w:val="both"/>
      </w:pPr>
      <w:r w:rsidRPr="008C59A9">
        <w:t>Trastornos generales y alteraciones en la zona de administración</w:t>
      </w:r>
    </w:p>
    <w:p w:rsidR="008C59A9" w:rsidRPr="008C59A9" w:rsidRDefault="008C59A9" w:rsidP="008C59A9">
      <w:pPr>
        <w:jc w:val="both"/>
      </w:pPr>
      <w:r w:rsidRPr="008C59A9">
        <w:t>Frecuentes: Fatiga†, reacciones en la zona de inyección.</w:t>
      </w:r>
    </w:p>
    <w:p w:rsidR="008C59A9" w:rsidRPr="008C59A9" w:rsidRDefault="008C59A9" w:rsidP="008C59A9">
      <w:pPr>
        <w:jc w:val="both"/>
      </w:pPr>
      <w:r w:rsidRPr="008C59A9">
        <w:t>Poco frecuentes: Dolor en la zona de inyección.</w:t>
      </w:r>
    </w:p>
    <w:p w:rsidR="008C59A9" w:rsidRPr="008C59A9" w:rsidRDefault="008C59A9" w:rsidP="008C59A9">
      <w:pPr>
        <w:jc w:val="both"/>
      </w:pPr>
      <w:r w:rsidRPr="008C59A9">
        <w:t>Exploraciones complementarias</w:t>
      </w:r>
    </w:p>
    <w:p w:rsidR="008C59A9" w:rsidRPr="008C59A9" w:rsidRDefault="008C59A9" w:rsidP="008C59A9">
      <w:pPr>
        <w:jc w:val="both"/>
      </w:pPr>
      <w:r w:rsidRPr="008C59A9">
        <w:t>Frecuentes: Aumento de la frecuencia cardíaca, aumento de la lipasa, aumento de la amilasa.</w:t>
      </w:r>
    </w:p>
    <w:p w:rsidR="008C59A9" w:rsidRPr="008C59A9" w:rsidRDefault="008C59A9" w:rsidP="008C59A9">
      <w:pPr>
        <w:jc w:val="both"/>
      </w:pPr>
      <w:r w:rsidRPr="008C59A9">
        <w:t>Poco frecuentes: Aumento de la calcitonina en sangre.</w:t>
      </w:r>
    </w:p>
    <w:p w:rsidR="008C59A9" w:rsidRPr="008C59A9" w:rsidRDefault="008C59A9" w:rsidP="008C59A9">
      <w:pPr>
        <w:jc w:val="both"/>
      </w:pPr>
    </w:p>
    <w:p w:rsidR="008C59A9" w:rsidRPr="008C59A9" w:rsidRDefault="008C59A9" w:rsidP="008C59A9">
      <w:pPr>
        <w:jc w:val="both"/>
      </w:pPr>
      <w:r w:rsidRPr="008C59A9">
        <w:t>*El término hipoglucemia se define abajo.</w:t>
      </w:r>
    </w:p>
    <w:p w:rsidR="008C59A9" w:rsidRPr="008C59A9" w:rsidRDefault="008C59A9" w:rsidP="008C59A9">
      <w:pPr>
        <w:jc w:val="both"/>
      </w:pPr>
      <w:r w:rsidRPr="008C59A9">
        <w:t>†Fatiga incluye los términos fatiga, astenia, malestar y letargo.</w:t>
      </w:r>
    </w:p>
    <w:p w:rsidR="008C59A9" w:rsidRPr="008C59A9" w:rsidRDefault="008C59A9" w:rsidP="008C59A9">
      <w:pPr>
        <w:jc w:val="both"/>
      </w:pPr>
      <w:r w:rsidRPr="008C59A9">
        <w:t>1 Reacción adversa que solo aplica a pacientes con diabetes mellitus tipo 2 (DMT2).</w:t>
      </w:r>
    </w:p>
    <w:p w:rsidR="008C59A9" w:rsidRPr="008C59A9" w:rsidRDefault="008C59A9" w:rsidP="008C59A9">
      <w:pPr>
        <w:jc w:val="both"/>
      </w:pPr>
      <w:r w:rsidRPr="008C59A9">
        <w:t>2 Reacción adversa que aplica principalmente a pacientes con sobrepeso u obesidad, con o sin DMT2.</w:t>
      </w:r>
    </w:p>
    <w:p w:rsidR="008C59A9" w:rsidRPr="008C59A9" w:rsidRDefault="008C59A9" w:rsidP="008C59A9">
      <w:pPr>
        <w:jc w:val="both"/>
      </w:pPr>
    </w:p>
    <w:p w:rsidR="008C59A9" w:rsidRPr="008C59A9" w:rsidRDefault="008C59A9" w:rsidP="008C59A9">
      <w:pPr>
        <w:jc w:val="both"/>
      </w:pPr>
      <w:r w:rsidRPr="008C59A9">
        <w:t>Descripción de las reacciones adversas seleccionadas</w:t>
      </w:r>
    </w:p>
    <w:p w:rsidR="008C59A9" w:rsidRPr="008C59A9" w:rsidRDefault="008C59A9" w:rsidP="008C59A9">
      <w:pPr>
        <w:jc w:val="both"/>
      </w:pPr>
      <w:r w:rsidRPr="008C59A9">
        <w:t>Reacciones de hipersensibilidad</w:t>
      </w:r>
    </w:p>
    <w:p w:rsidR="008C59A9" w:rsidRPr="008C59A9" w:rsidRDefault="008C59A9" w:rsidP="008C59A9">
      <w:pPr>
        <w:jc w:val="both"/>
      </w:pPr>
      <w:r w:rsidRPr="008C59A9">
        <w:t xml:space="preserve">Pueden aparecer reacciones de hipersensibilidad con </w:t>
      </w:r>
      <w:proofErr w:type="spellStart"/>
      <w:r w:rsidRPr="008C59A9">
        <w:t>tirzepatida</w:t>
      </w:r>
      <w:proofErr w:type="spellEnd"/>
      <w:r w:rsidRPr="008C59A9">
        <w:t xml:space="preserve"> en el conjunto de ensayos de DMT2 controlados con placebo, a veces graves (por ejemplo, urticaria y eczema); se notificaron reacciones de  hipersensibilidad en el 3,2% de los pacientes tratados con </w:t>
      </w:r>
      <w:proofErr w:type="spellStart"/>
      <w:r w:rsidRPr="008C59A9">
        <w:t>tirzepatida</w:t>
      </w:r>
      <w:proofErr w:type="spellEnd"/>
      <w:r w:rsidRPr="008C59A9">
        <w:t xml:space="preserve"> en comparación con el</w:t>
      </w:r>
    </w:p>
    <w:p w:rsidR="008C59A9" w:rsidRPr="008C59A9" w:rsidRDefault="008C59A9" w:rsidP="008C59A9">
      <w:pPr>
        <w:jc w:val="both"/>
      </w:pPr>
      <w:r w:rsidRPr="008C59A9">
        <w:t xml:space="preserve">1,7 % de los pacientes tratados con placebo. Se han notificado casos de reacción anafiláctica y </w:t>
      </w:r>
      <w:proofErr w:type="spellStart"/>
      <w:r w:rsidRPr="008C59A9">
        <w:t>angioedema</w:t>
      </w:r>
      <w:proofErr w:type="spellEnd"/>
      <w:r w:rsidRPr="008C59A9">
        <w:t xml:space="preserve"> en raras ocasiones con el uso de </w:t>
      </w:r>
      <w:proofErr w:type="spellStart"/>
      <w:r w:rsidRPr="008C59A9">
        <w:t>tirzepatida</w:t>
      </w:r>
      <w:proofErr w:type="spellEnd"/>
      <w:r w:rsidRPr="008C59A9">
        <w:t xml:space="preserve"> una vez comercializado.</w:t>
      </w:r>
    </w:p>
    <w:p w:rsidR="008C59A9" w:rsidRPr="008C59A9" w:rsidRDefault="008C59A9" w:rsidP="008C59A9">
      <w:pPr>
        <w:jc w:val="both"/>
      </w:pPr>
      <w:r w:rsidRPr="008C59A9">
        <w:t>Hipoglucemia en pacientes con diabetes mellitus tipo 2</w:t>
      </w:r>
    </w:p>
    <w:p w:rsidR="008C59A9" w:rsidRPr="008C59A9" w:rsidRDefault="008C59A9" w:rsidP="008C59A9">
      <w:pPr>
        <w:jc w:val="both"/>
      </w:pPr>
      <w:r w:rsidRPr="008C59A9">
        <w:t xml:space="preserve">La hipoglucemia clínicamente significativa (glucosa en sangre &lt; 3,0 </w:t>
      </w:r>
      <w:proofErr w:type="spellStart"/>
      <w:r w:rsidRPr="008C59A9">
        <w:t>mmol</w:t>
      </w:r>
      <w:proofErr w:type="spellEnd"/>
      <w:r w:rsidRPr="008C59A9">
        <w:t>/L</w:t>
      </w:r>
    </w:p>
    <w:p w:rsidR="008C59A9" w:rsidRPr="008C59A9" w:rsidRDefault="008C59A9" w:rsidP="008C59A9">
      <w:pPr>
        <w:jc w:val="both"/>
      </w:pPr>
      <w:r w:rsidRPr="008C59A9">
        <w:t>(&lt; 54 mg/</w:t>
      </w:r>
      <w:proofErr w:type="spellStart"/>
      <w:r w:rsidRPr="008C59A9">
        <w:t>dL</w:t>
      </w:r>
      <w:proofErr w:type="spellEnd"/>
      <w:r w:rsidRPr="008C59A9">
        <w:t xml:space="preserve">) o hipoglucemia grave (que requiere la asistencia de otra persona)) se produce en el 10 al 14 % de los pacientes (0,14 a 0,16 episodios/paciente-año) cuando se añadió </w:t>
      </w:r>
      <w:proofErr w:type="spellStart"/>
      <w:r w:rsidRPr="008C59A9">
        <w:t>tirzepatida</w:t>
      </w:r>
      <w:proofErr w:type="spellEnd"/>
      <w:r w:rsidRPr="008C59A9">
        <w:t xml:space="preserve"> a </w:t>
      </w:r>
      <w:proofErr w:type="spellStart"/>
      <w:r w:rsidRPr="008C59A9">
        <w:t>sulfonilurea</w:t>
      </w:r>
      <w:proofErr w:type="spellEnd"/>
      <w:r w:rsidRPr="008C59A9">
        <w:t xml:space="preserve"> y en el 14 al 19 % de los pacientes (0,43 a 0,64 episodios/paciente-año) cuando se añade </w:t>
      </w:r>
      <w:proofErr w:type="spellStart"/>
      <w:r w:rsidRPr="008C59A9">
        <w:t>tirzepatida</w:t>
      </w:r>
      <w:proofErr w:type="spellEnd"/>
      <w:r w:rsidRPr="008C59A9">
        <w:t xml:space="preserve"> a insulina basal.</w:t>
      </w:r>
    </w:p>
    <w:p w:rsidR="008C59A9" w:rsidRPr="008C59A9" w:rsidRDefault="008C59A9" w:rsidP="008C59A9">
      <w:pPr>
        <w:jc w:val="both"/>
      </w:pPr>
      <w:r w:rsidRPr="008C59A9">
        <w:t xml:space="preserve">Cuando se utiliza </w:t>
      </w:r>
      <w:proofErr w:type="spellStart"/>
      <w:r w:rsidRPr="008C59A9">
        <w:t>tirzepatida</w:t>
      </w:r>
      <w:proofErr w:type="spellEnd"/>
      <w:r w:rsidRPr="008C59A9">
        <w:t xml:space="preserve"> en monoterapia o cuando se añade a otros medicamentos antidiabéticos orales, la tasa de hipoglucemia clínicamente puede ser de hasta 0,04 episodios/paciente-año.</w:t>
      </w:r>
    </w:p>
    <w:p w:rsidR="008C59A9" w:rsidRPr="008C59A9" w:rsidRDefault="008C59A9" w:rsidP="008C59A9">
      <w:pPr>
        <w:jc w:val="both"/>
      </w:pPr>
      <w:r w:rsidRPr="008C59A9">
        <w:t>Reacciones adversas gastrointestinales</w:t>
      </w:r>
    </w:p>
    <w:p w:rsidR="008C59A9" w:rsidRPr="008C59A9" w:rsidRDefault="008C59A9" w:rsidP="008C59A9">
      <w:pPr>
        <w:jc w:val="both"/>
      </w:pPr>
      <w:r w:rsidRPr="008C59A9">
        <w:t>La aparición de los trastornos gastrointestinales aumenta de forma dependiente de la dosis. Las reacciones adversas gastrointestinales que pueden aparecer son de gravedad leve o moderada. La incidencia de náuseas, vómitos y diarrea es mayor durante el período de aumento de la dosis y disminuye con el tiempo.</w:t>
      </w:r>
    </w:p>
    <w:p w:rsidR="008C59A9" w:rsidRPr="008C59A9" w:rsidRDefault="008C59A9" w:rsidP="008C59A9">
      <w:pPr>
        <w:jc w:val="both"/>
      </w:pPr>
      <w:r w:rsidRPr="008C59A9">
        <w:t>Notificación de sospechas de reacciones adversas:</w:t>
      </w:r>
    </w:p>
    <w:p w:rsidR="008C59A9" w:rsidRPr="008C59A9" w:rsidRDefault="008C59A9" w:rsidP="008C59A9">
      <w:pPr>
        <w:jc w:val="both"/>
      </w:pPr>
      <w:r w:rsidRPr="008C59A9">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rsidRPr="008C59A9">
        <w:t>Farmacovigilancia</w:t>
      </w:r>
      <w:proofErr w:type="spellEnd"/>
      <w:r w:rsidRPr="008C59A9">
        <w:t xml:space="preserve">: farmacovigilancia@quimfa.com.py </w:t>
      </w:r>
    </w:p>
    <w:p w:rsidR="008C59A9" w:rsidRPr="008C59A9" w:rsidRDefault="008C59A9" w:rsidP="008C59A9">
      <w:pPr>
        <w:jc w:val="both"/>
      </w:pPr>
    </w:p>
    <w:p w:rsidR="008C59A9" w:rsidRPr="008C59A9" w:rsidRDefault="008C59A9" w:rsidP="008C59A9">
      <w:pPr>
        <w:jc w:val="both"/>
      </w:pPr>
      <w:r w:rsidRPr="008C59A9">
        <w:t>INTERACCIONES CON MEDICAMENTOS Y ALIMENTOS:</w:t>
      </w:r>
    </w:p>
    <w:p w:rsidR="008C59A9" w:rsidRPr="008C59A9" w:rsidRDefault="008C59A9" w:rsidP="008C59A9">
      <w:pPr>
        <w:jc w:val="both"/>
      </w:pPr>
      <w:proofErr w:type="spellStart"/>
      <w:r w:rsidRPr="008C59A9">
        <w:t>Tirzepatida</w:t>
      </w:r>
      <w:proofErr w:type="spellEnd"/>
      <w:r w:rsidRPr="008C59A9">
        <w:t xml:space="preserve"> retrasa el vaciado gástrico, y tiene el potencial de afectar a la tasa de absorción de medicamentos administrados de forma concomitante por vía oral. Este efecto, que se traduce en una disminución de la </w:t>
      </w:r>
      <w:proofErr w:type="spellStart"/>
      <w:r w:rsidRPr="008C59A9">
        <w:t>Cmax</w:t>
      </w:r>
      <w:proofErr w:type="spellEnd"/>
      <w:r w:rsidRPr="008C59A9">
        <w:t xml:space="preserve"> y un retraso de la </w:t>
      </w:r>
      <w:proofErr w:type="spellStart"/>
      <w:r w:rsidRPr="008C59A9">
        <w:t>tmax</w:t>
      </w:r>
      <w:proofErr w:type="spellEnd"/>
      <w:r w:rsidRPr="008C59A9">
        <w:t xml:space="preserve">, es más pronunciado en el momento del inicio del tratamiento con </w:t>
      </w:r>
      <w:proofErr w:type="spellStart"/>
      <w:r w:rsidRPr="008C59A9">
        <w:t>tirzepatida</w:t>
      </w:r>
      <w:proofErr w:type="spellEnd"/>
      <w:r w:rsidRPr="008C59A9">
        <w:t>.</w:t>
      </w:r>
    </w:p>
    <w:p w:rsidR="008C59A9" w:rsidRPr="008C59A9" w:rsidRDefault="008C59A9" w:rsidP="008C59A9">
      <w:pPr>
        <w:jc w:val="both"/>
      </w:pPr>
      <w:r w:rsidRPr="008C59A9">
        <w:t xml:space="preserve">En base a los resultados de un estudio con paracetamol que se utilizó como medicamento modelo para evaluar el efecto de </w:t>
      </w:r>
      <w:proofErr w:type="spellStart"/>
      <w:r w:rsidRPr="008C59A9">
        <w:t>tirzepatida</w:t>
      </w:r>
      <w:proofErr w:type="spellEnd"/>
      <w:r w:rsidRPr="008C59A9">
        <w:t xml:space="preserve"> en el vaciado gástrico, no se espera que se requieran ajustes de dosis para la mayoría de los medicamentos orales administrados de forma concomitante. Sin embargo, se recomienda vigilar a los pacientes que toman medicamentos orales con un margen terapéutico estrecho (por ejemplo, </w:t>
      </w:r>
      <w:proofErr w:type="spellStart"/>
      <w:r w:rsidRPr="008C59A9">
        <w:t>warfarina</w:t>
      </w:r>
      <w:proofErr w:type="spellEnd"/>
      <w:r w:rsidRPr="008C59A9">
        <w:t xml:space="preserve">, </w:t>
      </w:r>
      <w:proofErr w:type="spellStart"/>
      <w:r w:rsidRPr="008C59A9">
        <w:t>digoxina</w:t>
      </w:r>
      <w:proofErr w:type="spellEnd"/>
      <w:r w:rsidRPr="008C59A9">
        <w:t xml:space="preserve">), especialmente en el momento del inicio del tratamiento con </w:t>
      </w:r>
      <w:proofErr w:type="spellStart"/>
      <w:r w:rsidRPr="008C59A9">
        <w:t>tirzepatida</w:t>
      </w:r>
      <w:proofErr w:type="spellEnd"/>
      <w:r w:rsidRPr="008C59A9">
        <w:t xml:space="preserve"> y tras el aumento de la dosis. Se debe considerar también el riesgo de un retraso del efecto para los medicamentos orales en los que es importante un inicio rápido del efecto.</w:t>
      </w:r>
    </w:p>
    <w:p w:rsidR="008C59A9" w:rsidRPr="008C59A9" w:rsidRDefault="008C59A9" w:rsidP="008C59A9">
      <w:pPr>
        <w:jc w:val="both"/>
      </w:pPr>
      <w:r w:rsidRPr="008C59A9">
        <w:t>Paracetamol</w:t>
      </w:r>
    </w:p>
    <w:p w:rsidR="008C59A9" w:rsidRPr="008C59A9" w:rsidRDefault="008C59A9" w:rsidP="008C59A9">
      <w:pPr>
        <w:jc w:val="both"/>
      </w:pPr>
      <w:r w:rsidRPr="008C59A9">
        <w:t xml:space="preserve">El efecto de </w:t>
      </w:r>
      <w:proofErr w:type="spellStart"/>
      <w:r w:rsidRPr="008C59A9">
        <w:t>tirzepatida</w:t>
      </w:r>
      <w:proofErr w:type="spellEnd"/>
      <w:r w:rsidRPr="008C59A9">
        <w:t xml:space="preserve"> sobre la absorción oral de paracetamol depende de la dosis y del tiempo. La exposición global (AUC) no se ve afectada. No es necesario ajustar la dosis de paracetamol cuando se administra con </w:t>
      </w:r>
      <w:proofErr w:type="spellStart"/>
      <w:r w:rsidRPr="008C59A9">
        <w:t>tirzepatida</w:t>
      </w:r>
      <w:proofErr w:type="spellEnd"/>
      <w:r w:rsidRPr="008C59A9">
        <w:t>.</w:t>
      </w:r>
    </w:p>
    <w:p w:rsidR="008C59A9" w:rsidRPr="008C59A9" w:rsidRDefault="008C59A9" w:rsidP="008C59A9">
      <w:pPr>
        <w:jc w:val="both"/>
      </w:pPr>
      <w:r w:rsidRPr="008C59A9">
        <w:t>Anticonceptivos orales</w:t>
      </w:r>
    </w:p>
    <w:p w:rsidR="008C59A9" w:rsidRPr="008C59A9" w:rsidRDefault="008C59A9" w:rsidP="008C59A9">
      <w:pPr>
        <w:jc w:val="both"/>
      </w:pPr>
      <w:r w:rsidRPr="008C59A9">
        <w:t xml:space="preserve">La administración de un anticonceptivo oral combinado (0,035 mg de </w:t>
      </w:r>
      <w:proofErr w:type="spellStart"/>
      <w:r w:rsidRPr="008C59A9">
        <w:t>etinilestradiol</w:t>
      </w:r>
      <w:proofErr w:type="spellEnd"/>
      <w:r w:rsidRPr="008C59A9">
        <w:t xml:space="preserve"> más 0,25 mg de </w:t>
      </w:r>
      <w:proofErr w:type="spellStart"/>
      <w:r w:rsidRPr="008C59A9">
        <w:t>norgestimato</w:t>
      </w:r>
      <w:proofErr w:type="spellEnd"/>
      <w:r w:rsidRPr="008C59A9">
        <w:t xml:space="preserve">, un </w:t>
      </w:r>
      <w:proofErr w:type="spellStart"/>
      <w:r w:rsidRPr="008C59A9">
        <w:t>profármaco</w:t>
      </w:r>
      <w:proofErr w:type="spellEnd"/>
      <w:r w:rsidRPr="008C59A9">
        <w:t xml:space="preserve"> de la </w:t>
      </w:r>
      <w:proofErr w:type="spellStart"/>
      <w:r w:rsidRPr="008C59A9">
        <w:t>norelgestromina</w:t>
      </w:r>
      <w:proofErr w:type="spellEnd"/>
      <w:r w:rsidRPr="008C59A9">
        <w:t xml:space="preserve">) junto con </w:t>
      </w:r>
      <w:proofErr w:type="spellStart"/>
      <w:r w:rsidRPr="008C59A9">
        <w:t>tirzepatida</w:t>
      </w:r>
      <w:proofErr w:type="spellEnd"/>
      <w:r w:rsidRPr="008C59A9">
        <w:t xml:space="preserve"> puede reducir la </w:t>
      </w:r>
      <w:proofErr w:type="spellStart"/>
      <w:r w:rsidRPr="008C59A9">
        <w:t>Cmax</w:t>
      </w:r>
      <w:proofErr w:type="spellEnd"/>
      <w:r w:rsidRPr="008C59A9">
        <w:t xml:space="preserve"> del anticonceptivo oral y del área bajo la curva (AUC), sin embargo, la reducción de la exposición tras una dosis única de </w:t>
      </w:r>
      <w:proofErr w:type="spellStart"/>
      <w:r w:rsidRPr="008C59A9">
        <w:t>tirzepatida</w:t>
      </w:r>
      <w:proofErr w:type="spellEnd"/>
      <w:r w:rsidRPr="008C59A9">
        <w:t xml:space="preserve"> no se considera clínicamente relevante. No es necesario un ajuste de dosis de anticonceptivos orales.</w:t>
      </w:r>
    </w:p>
    <w:p w:rsidR="008C59A9" w:rsidRPr="008C59A9" w:rsidRDefault="008C59A9" w:rsidP="008C59A9">
      <w:pPr>
        <w:jc w:val="both"/>
      </w:pPr>
    </w:p>
    <w:p w:rsidR="008C59A9" w:rsidRPr="008C59A9" w:rsidRDefault="008C59A9" w:rsidP="008C59A9">
      <w:pPr>
        <w:jc w:val="both"/>
      </w:pPr>
      <w:r w:rsidRPr="008C59A9">
        <w:t>SOBREDOSIFICACIÓN:</w:t>
      </w:r>
    </w:p>
    <w:p w:rsidR="008C59A9" w:rsidRPr="008C59A9" w:rsidRDefault="008C59A9" w:rsidP="008C59A9">
      <w:pPr>
        <w:jc w:val="both"/>
      </w:pPr>
      <w:r w:rsidRPr="008C59A9">
        <w:t xml:space="preserve">En caso de sobredosis, se debe iniciar tratamiento de soporte adecuado en función de los signos y síntomas clínicos del paciente. Los pacientes pueden experimentar reacciones adversas gastrointestinales, incluyendo náuseas. No existe un antídoto específico para la sobredosis de </w:t>
      </w:r>
      <w:proofErr w:type="spellStart"/>
      <w:r w:rsidRPr="008C59A9">
        <w:t>tirzepatida</w:t>
      </w:r>
      <w:proofErr w:type="spellEnd"/>
      <w:r w:rsidRPr="008C59A9">
        <w:t xml:space="preserve">. Puede ser necesario un periodo prolongado de observación y tratamiento de estos síntomas, teniendo en cuenta la semivida de </w:t>
      </w:r>
      <w:proofErr w:type="spellStart"/>
      <w:r w:rsidRPr="008C59A9">
        <w:t>tirzepatida</w:t>
      </w:r>
      <w:proofErr w:type="spellEnd"/>
      <w:r w:rsidRPr="008C59A9">
        <w:t xml:space="preserve"> (aproximadamente 5 días).</w:t>
      </w:r>
    </w:p>
    <w:p w:rsidR="008C59A9" w:rsidRPr="008C59A9" w:rsidRDefault="008C59A9" w:rsidP="008C59A9">
      <w:pPr>
        <w:jc w:val="both"/>
      </w:pPr>
      <w:r w:rsidRPr="008C59A9">
        <w:t xml:space="preserve">En caso de sobredosis acudir al Centro Nacional de Toxicología sito en  Avda. Gral. Santos y Teodoro S. </w:t>
      </w:r>
      <w:proofErr w:type="spellStart"/>
      <w:r w:rsidRPr="008C59A9">
        <w:t>Mongelos</w:t>
      </w:r>
      <w:proofErr w:type="spellEnd"/>
      <w:r w:rsidRPr="008C59A9">
        <w:t xml:space="preserve"> Tel.: (021) 220-418.</w:t>
      </w:r>
    </w:p>
    <w:p w:rsidR="008C59A9" w:rsidRPr="008C59A9" w:rsidRDefault="008C59A9" w:rsidP="008C59A9">
      <w:pPr>
        <w:jc w:val="both"/>
      </w:pPr>
    </w:p>
    <w:p w:rsidR="008C59A9" w:rsidRPr="008C59A9" w:rsidRDefault="008C59A9" w:rsidP="008C59A9">
      <w:pPr>
        <w:jc w:val="both"/>
      </w:pPr>
      <w:r w:rsidRPr="008C59A9">
        <w:t>RESTRICCIONES DE USO:</w:t>
      </w:r>
    </w:p>
    <w:p w:rsidR="008C59A9" w:rsidRPr="008C59A9" w:rsidRDefault="008C59A9" w:rsidP="008C59A9">
      <w:pPr>
        <w:jc w:val="both"/>
      </w:pPr>
      <w:r w:rsidRPr="008C59A9">
        <w:t>Embarazo</w:t>
      </w:r>
    </w:p>
    <w:p w:rsidR="008C59A9" w:rsidRPr="008C59A9" w:rsidRDefault="008C59A9" w:rsidP="008C59A9">
      <w:pPr>
        <w:jc w:val="both"/>
      </w:pPr>
      <w:r w:rsidRPr="008C59A9">
        <w:t xml:space="preserve">No hay datos o son limitados relativos al uso de </w:t>
      </w:r>
      <w:proofErr w:type="spellStart"/>
      <w:r w:rsidRPr="008C59A9">
        <w:t>tirzepatida</w:t>
      </w:r>
      <w:proofErr w:type="spellEnd"/>
      <w:r w:rsidRPr="008C59A9">
        <w:t xml:space="preserve"> en mujeres embarazadas. No se recomienda el uso de </w:t>
      </w:r>
      <w:proofErr w:type="spellStart"/>
      <w:r w:rsidRPr="008C59A9">
        <w:t>tirzepatida</w:t>
      </w:r>
      <w:proofErr w:type="spellEnd"/>
      <w:r w:rsidRPr="008C59A9">
        <w:t xml:space="preserve"> durante el embarazo ni en mujeres en edad fértil que no utilicen métodos anticonceptivos.</w:t>
      </w:r>
    </w:p>
    <w:p w:rsidR="008C59A9" w:rsidRPr="008C59A9" w:rsidRDefault="008C59A9" w:rsidP="008C59A9">
      <w:pPr>
        <w:jc w:val="both"/>
      </w:pPr>
      <w:r w:rsidRPr="008C59A9">
        <w:t>Lactancia</w:t>
      </w:r>
    </w:p>
    <w:p w:rsidR="008C59A9" w:rsidRPr="008C59A9" w:rsidRDefault="008C59A9" w:rsidP="008C59A9">
      <w:pPr>
        <w:jc w:val="both"/>
      </w:pPr>
      <w:r w:rsidRPr="008C59A9">
        <w:t xml:space="preserve">Se desconoce si </w:t>
      </w:r>
      <w:proofErr w:type="spellStart"/>
      <w:r w:rsidRPr="008C59A9">
        <w:t>tirzepatida</w:t>
      </w:r>
      <w:proofErr w:type="spellEnd"/>
      <w:r w:rsidRPr="008C59A9">
        <w:t xml:space="preserve"> se excreta en la leche materna. No se puede excluir un riesgo para los recién nacidos/lactantes. Se debe tomar la decisión de interrumpir la lactancia o bien interrumpir/abstenerse del tratamiento con </w:t>
      </w:r>
      <w:proofErr w:type="spellStart"/>
      <w:r w:rsidRPr="008C59A9">
        <w:t>tirzepatida</w:t>
      </w:r>
      <w:proofErr w:type="spellEnd"/>
      <w:r w:rsidRPr="008C59A9">
        <w:t>, teniendo en cuenta el beneficio de la lactancia para el niño y el beneficio del tratamiento para la mujer.</w:t>
      </w:r>
    </w:p>
    <w:p w:rsidR="008C59A9" w:rsidRPr="008C59A9" w:rsidRDefault="008C59A9" w:rsidP="008C59A9">
      <w:pPr>
        <w:jc w:val="both"/>
      </w:pPr>
      <w:r w:rsidRPr="008C59A9">
        <w:t>Fertilidad</w:t>
      </w:r>
    </w:p>
    <w:p w:rsidR="008C59A9" w:rsidRPr="008C59A9" w:rsidRDefault="008C59A9" w:rsidP="008C59A9">
      <w:pPr>
        <w:jc w:val="both"/>
      </w:pPr>
      <w:r w:rsidRPr="008C59A9">
        <w:t xml:space="preserve">Se desconoce el efecto de </w:t>
      </w:r>
      <w:proofErr w:type="spellStart"/>
      <w:r w:rsidRPr="008C59A9">
        <w:t>tirzepatida</w:t>
      </w:r>
      <w:proofErr w:type="spellEnd"/>
      <w:r w:rsidRPr="008C59A9">
        <w:t xml:space="preserve"> sobre la fertilidad en humanos.</w:t>
      </w:r>
    </w:p>
    <w:p w:rsidR="008C59A9" w:rsidRPr="008C59A9" w:rsidRDefault="008C59A9" w:rsidP="008C59A9">
      <w:pPr>
        <w:jc w:val="both"/>
      </w:pPr>
      <w:r w:rsidRPr="008C59A9">
        <w:t>Población pediátrica</w:t>
      </w:r>
    </w:p>
    <w:p w:rsidR="008C59A9" w:rsidRPr="008C59A9" w:rsidRDefault="008C59A9" w:rsidP="008C59A9">
      <w:pPr>
        <w:jc w:val="both"/>
      </w:pPr>
      <w:r w:rsidRPr="008C59A9">
        <w:t xml:space="preserve">No se ha establecido todavía la seguridad y eficacia de </w:t>
      </w:r>
      <w:proofErr w:type="spellStart"/>
      <w:r w:rsidRPr="008C59A9">
        <w:t>tirzepatida</w:t>
      </w:r>
      <w:proofErr w:type="spellEnd"/>
      <w:r w:rsidRPr="008C59A9">
        <w:t xml:space="preserve"> en menores de 18 años.</w:t>
      </w:r>
    </w:p>
    <w:p w:rsidR="008C59A9" w:rsidRPr="008C59A9" w:rsidRDefault="008C59A9" w:rsidP="008C59A9">
      <w:pPr>
        <w:jc w:val="both"/>
      </w:pPr>
      <w:r w:rsidRPr="008C59A9">
        <w:t>Efectos sobre la capacidad para conducir y utilizar máquinas</w:t>
      </w:r>
    </w:p>
    <w:p w:rsidR="008C59A9" w:rsidRPr="008C59A9" w:rsidRDefault="008C59A9" w:rsidP="008C59A9">
      <w:pPr>
        <w:jc w:val="both"/>
      </w:pPr>
      <w:r w:rsidRPr="008C59A9">
        <w:t xml:space="preserve">La influencia de </w:t>
      </w:r>
      <w:proofErr w:type="spellStart"/>
      <w:r w:rsidRPr="008C59A9">
        <w:t>tirzepatida</w:t>
      </w:r>
      <w:proofErr w:type="spellEnd"/>
      <w:r w:rsidRPr="008C59A9">
        <w:t xml:space="preserve"> sobre la capacidad para conducir y utilizar máquinas es nula o insignificante. Cuando se utilice </w:t>
      </w:r>
      <w:proofErr w:type="spellStart"/>
      <w:r w:rsidRPr="008C59A9">
        <w:t>tirzepatida</w:t>
      </w:r>
      <w:proofErr w:type="spellEnd"/>
      <w:r w:rsidRPr="008C59A9">
        <w:t xml:space="preserve"> en combinación con una </w:t>
      </w:r>
      <w:proofErr w:type="spellStart"/>
      <w:r w:rsidRPr="008C59A9">
        <w:t>sulfonilurea</w:t>
      </w:r>
      <w:proofErr w:type="spellEnd"/>
      <w:r w:rsidRPr="008C59A9">
        <w:t xml:space="preserve"> o una insulina, se debe advertir a los pacientes que tomen precauciones para evitar una hipoglucemia mientras conducen y utilizan máquinas.</w:t>
      </w:r>
    </w:p>
    <w:p w:rsidR="008C59A9" w:rsidRPr="008C59A9" w:rsidRDefault="008C59A9" w:rsidP="008C59A9">
      <w:pPr>
        <w:jc w:val="both"/>
      </w:pPr>
      <w:r w:rsidRPr="008C59A9">
        <w:t>Incompatibilidades</w:t>
      </w:r>
    </w:p>
    <w:p w:rsidR="008C59A9" w:rsidRPr="008C59A9" w:rsidRDefault="008C59A9" w:rsidP="008C59A9">
      <w:pPr>
        <w:jc w:val="both"/>
      </w:pPr>
      <w:r w:rsidRPr="008C59A9">
        <w:t>En ausencia de estudios de compatibilidad, este medicamento no debe mezclarse con otros.</w:t>
      </w:r>
    </w:p>
    <w:p w:rsidR="008C59A9" w:rsidRPr="008C59A9" w:rsidRDefault="008C59A9" w:rsidP="008C59A9">
      <w:pPr>
        <w:jc w:val="both"/>
      </w:pPr>
    </w:p>
    <w:p w:rsidR="008C59A9" w:rsidRPr="008C59A9" w:rsidRDefault="008C59A9" w:rsidP="008C59A9">
      <w:pPr>
        <w:jc w:val="both"/>
      </w:pPr>
      <w:r w:rsidRPr="008C59A9">
        <w:t>CONSERVACIÓN:</w:t>
      </w:r>
    </w:p>
    <w:p w:rsidR="008C59A9" w:rsidRPr="008C59A9" w:rsidRDefault="008C59A9" w:rsidP="008C59A9">
      <w:pPr>
        <w:jc w:val="both"/>
      </w:pPr>
      <w:r w:rsidRPr="008C59A9">
        <w:t xml:space="preserve">Almacenar a temperatura entre 2º y 8ºC. La solución una vez abierta es estable por 4 semanas almacenada en la heladera. </w:t>
      </w:r>
    </w:p>
    <w:p w:rsidR="008C59A9" w:rsidRPr="008C59A9" w:rsidRDefault="008C59A9" w:rsidP="008C59A9">
      <w:pPr>
        <w:jc w:val="both"/>
      </w:pPr>
    </w:p>
    <w:p w:rsidR="008C59A9" w:rsidRPr="008C59A9" w:rsidRDefault="008C59A9" w:rsidP="008C59A9">
      <w:pPr>
        <w:jc w:val="both"/>
      </w:pPr>
      <w:r w:rsidRPr="008C59A9">
        <w:t xml:space="preserve">PRESENTACIONES: </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w:t>
      </w:r>
    </w:p>
    <w:p w:rsidR="008C59A9" w:rsidRPr="008C59A9" w:rsidRDefault="008C59A9" w:rsidP="008C59A9">
      <w:pPr>
        <w:jc w:val="both"/>
      </w:pPr>
      <w:r w:rsidRPr="008C59A9">
        <w:t xml:space="preserve">- Caja conteniendo 1 vial con 2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r w:rsidRPr="008C59A9">
        <w:t xml:space="preserve">- Caja conteniendo 1 vial con 3 </w:t>
      </w:r>
      <w:proofErr w:type="spellStart"/>
      <w:r w:rsidRPr="008C59A9">
        <w:t>mL</w:t>
      </w:r>
      <w:proofErr w:type="spellEnd"/>
      <w:r w:rsidRPr="008C59A9">
        <w:t xml:space="preserve"> de solución inyectable + 4 jeringas estériles con aguja.</w:t>
      </w:r>
    </w:p>
    <w:p w:rsidR="008C59A9" w:rsidRPr="008C59A9" w:rsidRDefault="008C59A9" w:rsidP="008C59A9">
      <w:pPr>
        <w:jc w:val="both"/>
      </w:pPr>
    </w:p>
    <w:p w:rsidR="008C59A9" w:rsidRPr="008C59A9" w:rsidRDefault="008C59A9" w:rsidP="008C59A9">
      <w:pPr>
        <w:jc w:val="both"/>
      </w:pPr>
      <w:r w:rsidRPr="008C59A9">
        <w:t>Estos medicamentos deben ser utilizados únicamente por prescripción médica y no podrán repetirse sin nueva indicación del facultativo.</w:t>
      </w:r>
    </w:p>
    <w:p w:rsidR="008C59A9" w:rsidRPr="008C59A9" w:rsidRDefault="008C59A9" w:rsidP="008C59A9">
      <w:pPr>
        <w:jc w:val="both"/>
      </w:pPr>
      <w:r w:rsidRPr="008C59A9">
        <w:t>En caso de uso de estos medicamentos sin prescripción médica, la ocurrencia de efectos adversos e indeseables será de exclusiva responsabilidad de quién lo consuma.</w:t>
      </w:r>
    </w:p>
    <w:p w:rsidR="008C59A9" w:rsidRPr="008C59A9" w:rsidRDefault="008C59A9" w:rsidP="008C59A9">
      <w:pPr>
        <w:jc w:val="both"/>
      </w:pPr>
    </w:p>
    <w:p w:rsidR="008C59A9" w:rsidRPr="008C59A9" w:rsidRDefault="008C59A9" w:rsidP="008C59A9">
      <w:pPr>
        <w:jc w:val="both"/>
      </w:pPr>
      <w:r w:rsidRPr="008C59A9">
        <w:t>Si Ud. es deportista y está sometido a control de doping, no consuma estos productos sin consultar a su médico.</w:t>
      </w:r>
    </w:p>
    <w:p w:rsidR="008C59A9" w:rsidRPr="008C59A9" w:rsidRDefault="008C59A9" w:rsidP="008C59A9">
      <w:pPr>
        <w:jc w:val="both"/>
      </w:pPr>
    </w:p>
    <w:p w:rsidR="008C59A9" w:rsidRPr="008C59A9" w:rsidRDefault="008C59A9" w:rsidP="008C59A9">
      <w:pPr>
        <w:jc w:val="both"/>
      </w:pPr>
      <w:r w:rsidRPr="008C59A9">
        <w:t xml:space="preserve">Director Técnico: Q.F. Laura Ramírez </w:t>
      </w:r>
    </w:p>
    <w:p w:rsidR="008C59A9" w:rsidRPr="008C59A9" w:rsidRDefault="008C59A9" w:rsidP="008C59A9">
      <w:pPr>
        <w:jc w:val="both"/>
      </w:pPr>
      <w:r w:rsidRPr="008C59A9">
        <w:t>Reg. Profesional Nº: 4.142</w:t>
      </w:r>
    </w:p>
    <w:p w:rsidR="008C59A9" w:rsidRPr="008C59A9" w:rsidRDefault="008C59A9" w:rsidP="008C59A9">
      <w:pPr>
        <w:jc w:val="both"/>
      </w:pPr>
      <w:r w:rsidRPr="008C59A9">
        <w:t>Autorizado por DINAVISA.</w:t>
      </w:r>
    </w:p>
    <w:p w:rsidR="008C59A9" w:rsidRPr="008C59A9" w:rsidRDefault="008C59A9" w:rsidP="008C59A9">
      <w:pPr>
        <w:jc w:val="both"/>
      </w:pPr>
    </w:p>
    <w:p w:rsidR="008C59A9" w:rsidRPr="008C59A9" w:rsidRDefault="008C59A9" w:rsidP="008C59A9">
      <w:pPr>
        <w:jc w:val="both"/>
      </w:pPr>
    </w:p>
    <w:p w:rsidR="007322E3" w:rsidRPr="008C59A9" w:rsidRDefault="008C59A9" w:rsidP="008C59A9">
      <w:pPr>
        <w:jc w:val="both"/>
      </w:pPr>
      <w:r w:rsidRPr="008C59A9">
        <w:t>MANTENER FUERA DEL ALCANCE DE LOS NIÑOS</w:t>
      </w:r>
    </w:p>
    <w:sectPr w:rsidR="007322E3" w:rsidRPr="008C59A9"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2679"/>
    <w:rsid w:val="001E78E3"/>
    <w:rsid w:val="001F1731"/>
    <w:rsid w:val="001F5879"/>
    <w:rsid w:val="00222584"/>
    <w:rsid w:val="00295429"/>
    <w:rsid w:val="002A7758"/>
    <w:rsid w:val="002C15DA"/>
    <w:rsid w:val="002F523A"/>
    <w:rsid w:val="0034446C"/>
    <w:rsid w:val="00371535"/>
    <w:rsid w:val="003D09C3"/>
    <w:rsid w:val="003D7625"/>
    <w:rsid w:val="003F53F4"/>
    <w:rsid w:val="00411736"/>
    <w:rsid w:val="00431643"/>
    <w:rsid w:val="00465A82"/>
    <w:rsid w:val="004D5390"/>
    <w:rsid w:val="00541DA1"/>
    <w:rsid w:val="00563FA1"/>
    <w:rsid w:val="005758B3"/>
    <w:rsid w:val="005A03CF"/>
    <w:rsid w:val="005C7500"/>
    <w:rsid w:val="005F3318"/>
    <w:rsid w:val="006457BF"/>
    <w:rsid w:val="006856A1"/>
    <w:rsid w:val="006879D2"/>
    <w:rsid w:val="006B1C79"/>
    <w:rsid w:val="006D62BE"/>
    <w:rsid w:val="006E3978"/>
    <w:rsid w:val="006F226A"/>
    <w:rsid w:val="007322E3"/>
    <w:rsid w:val="007442AC"/>
    <w:rsid w:val="00784497"/>
    <w:rsid w:val="008365D6"/>
    <w:rsid w:val="00864A05"/>
    <w:rsid w:val="008B6296"/>
    <w:rsid w:val="008C59A9"/>
    <w:rsid w:val="008F6391"/>
    <w:rsid w:val="00945FB3"/>
    <w:rsid w:val="00983CDF"/>
    <w:rsid w:val="009C00C3"/>
    <w:rsid w:val="009E46DE"/>
    <w:rsid w:val="00A134E8"/>
    <w:rsid w:val="00A17981"/>
    <w:rsid w:val="00A605C8"/>
    <w:rsid w:val="00A67FCB"/>
    <w:rsid w:val="00A861E9"/>
    <w:rsid w:val="00A92D91"/>
    <w:rsid w:val="00AE513F"/>
    <w:rsid w:val="00AF3A80"/>
    <w:rsid w:val="00B041DB"/>
    <w:rsid w:val="00B37618"/>
    <w:rsid w:val="00B4763A"/>
    <w:rsid w:val="00B61E7F"/>
    <w:rsid w:val="00BE2FA2"/>
    <w:rsid w:val="00C345A2"/>
    <w:rsid w:val="00C5218A"/>
    <w:rsid w:val="00D064F8"/>
    <w:rsid w:val="00D252A3"/>
    <w:rsid w:val="00D3379C"/>
    <w:rsid w:val="00D33E8F"/>
    <w:rsid w:val="00D923A7"/>
    <w:rsid w:val="00DA205E"/>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 w:type="character" w:styleId="Hipervnculo">
    <w:name w:val="Hyperlink"/>
    <w:basedOn w:val="Fuentedeprrafopredeter"/>
    <w:uiPriority w:val="99"/>
    <w:unhideWhenUsed/>
    <w:rsid w:val="007322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3665</Words>
  <Characters>20161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2025-11-13T19:04:00Z</dcterms:created>
  <dcterms:modified xsi:type="dcterms:W3CDTF">2025-11-13T19:04:00Z</dcterms:modified>
</cp:coreProperties>
</file>