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F3636"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AAS®</w:t>
      </w:r>
    </w:p>
    <w:p w14:paraId="0E7F9C7F"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ACIDO ACETIL SALICILICO</w:t>
      </w:r>
    </w:p>
    <w:p w14:paraId="50A376AC"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AAS® 81</w:t>
      </w:r>
    </w:p>
    <w:p w14:paraId="2A0C89B7"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ACIDO ACETIL SALICILICO 81 mg</w:t>
      </w:r>
    </w:p>
    <w:p w14:paraId="3E0BF42B"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FORMULA:</w:t>
      </w:r>
    </w:p>
    <w:p w14:paraId="6BA2E26C"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Cada comprimido contiene:</w:t>
      </w:r>
    </w:p>
    <w:p w14:paraId="62D52A0A"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Acido Acetil Salicílico.................................................................81 mg.</w:t>
      </w:r>
    </w:p>
    <w:p w14:paraId="26BAB58C"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Excipientes...........................................................................c.s.p.</w:t>
      </w:r>
    </w:p>
    <w:p w14:paraId="63D3959F"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AAS® 125</w:t>
      </w:r>
    </w:p>
    <w:p w14:paraId="471FE5D4"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ACIDO ACETIL SALICILICO 125 mg</w:t>
      </w:r>
    </w:p>
    <w:p w14:paraId="2DC0D387"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FORMULA:</w:t>
      </w:r>
    </w:p>
    <w:p w14:paraId="597FAFE4"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Cada comprimido contiene:</w:t>
      </w:r>
    </w:p>
    <w:p w14:paraId="128BB378"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 xml:space="preserve">Acido Acetil Salicílico </w:t>
      </w:r>
      <w:proofErr w:type="spellStart"/>
      <w:r w:rsidRPr="003A7FEB">
        <w:rPr>
          <w:rFonts w:ascii="Times New Roman" w:eastAsia="Times New Roman" w:hAnsi="Times New Roman" w:cs="Times New Roman"/>
          <w:sz w:val="24"/>
          <w:szCs w:val="24"/>
          <w:lang w:val="es-ES" w:eastAsia="es-ES"/>
        </w:rPr>
        <w:t>Microencapsulado</w:t>
      </w:r>
      <w:proofErr w:type="spellEnd"/>
      <w:r w:rsidRPr="003A7FEB">
        <w:rPr>
          <w:rFonts w:ascii="Times New Roman" w:eastAsia="Times New Roman" w:hAnsi="Times New Roman" w:cs="Times New Roman"/>
          <w:sz w:val="24"/>
          <w:szCs w:val="24"/>
          <w:lang w:val="es-ES" w:eastAsia="es-ES"/>
        </w:rPr>
        <w:t>...................................125 mg.</w:t>
      </w:r>
    </w:p>
    <w:p w14:paraId="1470BCD1"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Excipientes...........................................................................c.s.p.</w:t>
      </w:r>
    </w:p>
    <w:p w14:paraId="44085692"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AAS® 500</w:t>
      </w:r>
    </w:p>
    <w:p w14:paraId="0EEE052B"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ACIDO ACETIL SALICILICO 500 mg</w:t>
      </w:r>
    </w:p>
    <w:p w14:paraId="5C490C33"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 xml:space="preserve">FORMULA: </w:t>
      </w:r>
    </w:p>
    <w:p w14:paraId="7965E899"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Cada comprimido contiene:</w:t>
      </w:r>
    </w:p>
    <w:p w14:paraId="5599413F"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Acido Acetil Salicílico................................................................500 mg.</w:t>
      </w:r>
    </w:p>
    <w:p w14:paraId="7368FDE7"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Excipientes...........................................................................c.s.p.</w:t>
      </w:r>
    </w:p>
    <w:p w14:paraId="1DE175F7"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ACCION TERAPEUTICA:</w:t>
      </w:r>
    </w:p>
    <w:p w14:paraId="6D773FB2"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AAS®81:</w:t>
      </w:r>
    </w:p>
    <w:p w14:paraId="12D38DFF"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Posee acciones de la analgesia, antipiréticas y antiinflamatorias. Inhibe la agregación de las plaquetas.</w:t>
      </w:r>
    </w:p>
    <w:p w14:paraId="58FB2CB4"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AAS®125:</w:t>
      </w:r>
    </w:p>
    <w:p w14:paraId="36EED0A7"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En adultos actúa como antiagregante plaquetario.</w:t>
      </w:r>
    </w:p>
    <w:p w14:paraId="02C779A7"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lastRenderedPageBreak/>
        <w:t>En mujeres embarazadas con riesgo de desarrollar hipertensión arterial reduce la incidencia de toxemia gravídica.</w:t>
      </w:r>
    </w:p>
    <w:p w14:paraId="3992AD1F"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AAS®500:</w:t>
      </w:r>
    </w:p>
    <w:p w14:paraId="4B08539B"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Analgésico. Antipirético. Antiinflamatorio y antirreumático.</w:t>
      </w:r>
    </w:p>
    <w:p w14:paraId="197C4DE2"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MECANISMO DE ACCION Y DATOS FARMACOCINETICOS:</w:t>
      </w:r>
    </w:p>
    <w:p w14:paraId="50C49225"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Acido Acetil Salicílico: Sus efectos analgésicos, antipiréticos y antiinflamatorios se deben a las asociaciones de las porciones acetilo y salicilato de la molécula intacta, como también a la acción del metabolito activo, salicilato. El efecto antiagregante plaquetario se debe a su capacidad como donante del grupo acetilo a la membrana plaquetaria y a la inhibición irreversible de la actividad de la enzima ciclooxigenasa, lo que disminuye la formación de precursores de las prostaglandinas y tromboxanos a partir del ácido araquidónico. Aunque la mayoría de sus efectos terapéuticos pueden deberse a la inhibición de la síntesis de prostaglandinas en diferentes tejidos, hay otras acciones que también contribuyen.</w:t>
      </w:r>
    </w:p>
    <w:p w14:paraId="20277461"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 xml:space="preserve">La absorción es rápida y completa tras la administración oral; los alimentos disminuyen la </w:t>
      </w:r>
      <w:proofErr w:type="gramStart"/>
      <w:r w:rsidRPr="003A7FEB">
        <w:rPr>
          <w:rFonts w:ascii="Times New Roman" w:eastAsia="Times New Roman" w:hAnsi="Times New Roman" w:cs="Times New Roman"/>
          <w:sz w:val="24"/>
          <w:szCs w:val="24"/>
          <w:lang w:val="es-ES" w:eastAsia="es-ES"/>
        </w:rPr>
        <w:t>velocidad</w:t>
      </w:r>
      <w:proofErr w:type="gramEnd"/>
      <w:r w:rsidRPr="003A7FEB">
        <w:rPr>
          <w:rFonts w:ascii="Times New Roman" w:eastAsia="Times New Roman" w:hAnsi="Times New Roman" w:cs="Times New Roman"/>
          <w:sz w:val="24"/>
          <w:szCs w:val="24"/>
          <w:lang w:val="es-ES" w:eastAsia="es-ES"/>
        </w:rPr>
        <w:t xml:space="preserve"> pero no el grado de absorción. Su unión a las proteínas (albúmina) es alta, pero decrece según aumenta la concentración plasmática, con concentraciones bajas de albúmina, en la disfunción renal y durante el embarazo. La vida media es de 15 a 20 minutos (para la molécula intacta) ya que se hidroliza rápidamente a salicilato. La concentración plasmática terapéutica como analgésico y antipirético es de 2,5 a 5 mg por 100 </w:t>
      </w:r>
      <w:proofErr w:type="spellStart"/>
      <w:r w:rsidRPr="003A7FEB">
        <w:rPr>
          <w:rFonts w:ascii="Times New Roman" w:eastAsia="Times New Roman" w:hAnsi="Times New Roman" w:cs="Times New Roman"/>
          <w:sz w:val="24"/>
          <w:szCs w:val="24"/>
          <w:lang w:val="es-ES" w:eastAsia="es-ES"/>
        </w:rPr>
        <w:t>mL</w:t>
      </w:r>
      <w:proofErr w:type="spellEnd"/>
      <w:r w:rsidRPr="003A7FEB">
        <w:rPr>
          <w:rFonts w:ascii="Times New Roman" w:eastAsia="Times New Roman" w:hAnsi="Times New Roman" w:cs="Times New Roman"/>
          <w:sz w:val="24"/>
          <w:szCs w:val="24"/>
          <w:lang w:val="es-ES" w:eastAsia="es-ES"/>
        </w:rPr>
        <w:t xml:space="preserve"> que se alcanzan generalmente con dosis únicas. Como antiinflamatorio/ antirreumático de 15 a 30 mg por 100 </w:t>
      </w:r>
      <w:proofErr w:type="spellStart"/>
      <w:r w:rsidRPr="003A7FEB">
        <w:rPr>
          <w:rFonts w:ascii="Times New Roman" w:eastAsia="Times New Roman" w:hAnsi="Times New Roman" w:cs="Times New Roman"/>
          <w:sz w:val="24"/>
          <w:szCs w:val="24"/>
          <w:lang w:val="es-ES" w:eastAsia="es-ES"/>
        </w:rPr>
        <w:t>mL</w:t>
      </w:r>
      <w:proofErr w:type="spellEnd"/>
      <w:r w:rsidRPr="003A7FEB">
        <w:rPr>
          <w:rFonts w:ascii="Times New Roman" w:eastAsia="Times New Roman" w:hAnsi="Times New Roman" w:cs="Times New Roman"/>
          <w:sz w:val="24"/>
          <w:szCs w:val="24"/>
          <w:lang w:val="es-ES" w:eastAsia="es-ES"/>
        </w:rPr>
        <w:t>, si bien, para lograr el efecto máximo como antirreumático pueden necesitarse 2 a 3 semanas de tratamiento continuo. Se elimina por vía renal como ácido salicílico libre o como metabolitos conjugados. La excreción de ácido salicílico no metabolizado aumenta con dosis elevadas y en la orina alcalina, y disminuye en la orina ácida. Se excreta también en la leche materna, observándose que tras la ingestión de una dosis única de 650 mg se han detectado concentraciones máximas de salicilato de 173 a 483 mg/</w:t>
      </w:r>
      <w:proofErr w:type="spellStart"/>
      <w:r w:rsidRPr="003A7FEB">
        <w:rPr>
          <w:rFonts w:ascii="Times New Roman" w:eastAsia="Times New Roman" w:hAnsi="Times New Roman" w:cs="Times New Roman"/>
          <w:sz w:val="24"/>
          <w:szCs w:val="24"/>
          <w:lang w:val="es-ES" w:eastAsia="es-ES"/>
        </w:rPr>
        <w:t>mL</w:t>
      </w:r>
      <w:proofErr w:type="spellEnd"/>
      <w:r w:rsidRPr="003A7FEB">
        <w:rPr>
          <w:rFonts w:ascii="Times New Roman" w:eastAsia="Times New Roman" w:hAnsi="Times New Roman" w:cs="Times New Roman"/>
          <w:sz w:val="24"/>
          <w:szCs w:val="24"/>
          <w:lang w:val="es-ES" w:eastAsia="es-ES"/>
        </w:rPr>
        <w:t>.</w:t>
      </w:r>
    </w:p>
    <w:p w14:paraId="24A86609"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INDICACIONES TERAPEUTICAS:</w:t>
      </w:r>
    </w:p>
    <w:p w14:paraId="6B5F34F8"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 xml:space="preserve">En base a su efecto antiagregante plaquetario está indicado en la profilaxis de: Infarto de miocardio, prevención de la oclusión del bypass </w:t>
      </w:r>
      <w:proofErr w:type="spellStart"/>
      <w:r w:rsidRPr="003A7FEB">
        <w:rPr>
          <w:rFonts w:ascii="Times New Roman" w:eastAsia="Times New Roman" w:hAnsi="Times New Roman" w:cs="Times New Roman"/>
          <w:sz w:val="24"/>
          <w:szCs w:val="24"/>
          <w:lang w:val="es-ES" w:eastAsia="es-ES"/>
        </w:rPr>
        <w:t>aortocoronario</w:t>
      </w:r>
      <w:proofErr w:type="spellEnd"/>
      <w:r w:rsidRPr="003A7FEB">
        <w:rPr>
          <w:rFonts w:ascii="Times New Roman" w:eastAsia="Times New Roman" w:hAnsi="Times New Roman" w:cs="Times New Roman"/>
          <w:sz w:val="24"/>
          <w:szCs w:val="24"/>
          <w:lang w:val="es-ES" w:eastAsia="es-ES"/>
        </w:rPr>
        <w:t>. Tromboembolismo postoperatorio en pacientes con prótesis valvulares biológicas o con shunt arteriovenoso, tromboflebitis, flebotrombosis y riesgo de trombosis arteriales. Tratamiento de ataques isquémicos transitorios (AIT) con isquemia cerebral transitoria para reducir el riesgo de accidente cerebrovascular.</w:t>
      </w:r>
    </w:p>
    <w:p w14:paraId="3E7FF5CC"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Estas indicaciones requieren siempre un control médico.</w:t>
      </w:r>
    </w:p>
    <w:p w14:paraId="4E055592"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Tratamiento o alivio sintomático del dolor (dolores de cabeza, dentales), tratamiento de la fiebre. En todas estas indicaciones, la administración del preparado está supeditada a la aparición de los síntomas dolorosos o febriles. A medida que éstos desaparezcan debe suspenderse la medicación.</w:t>
      </w:r>
    </w:p>
    <w:p w14:paraId="3DB0A04D"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lastRenderedPageBreak/>
        <w:t>POSOLOGIA:</w:t>
      </w:r>
    </w:p>
    <w:p w14:paraId="3C0270C8"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Según prescripción médica.</w:t>
      </w:r>
    </w:p>
    <w:p w14:paraId="44AD7515"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AAS®</w:t>
      </w:r>
      <w:proofErr w:type="gramStart"/>
      <w:r w:rsidRPr="003A7FEB">
        <w:rPr>
          <w:rFonts w:ascii="Times New Roman" w:eastAsia="Times New Roman" w:hAnsi="Times New Roman" w:cs="Times New Roman"/>
          <w:sz w:val="24"/>
          <w:szCs w:val="24"/>
          <w:lang w:val="es-ES" w:eastAsia="es-ES"/>
        </w:rPr>
        <w:t>81 :</w:t>
      </w:r>
      <w:proofErr w:type="gramEnd"/>
      <w:r w:rsidRPr="003A7FEB">
        <w:rPr>
          <w:rFonts w:ascii="Times New Roman" w:eastAsia="Times New Roman" w:hAnsi="Times New Roman" w:cs="Times New Roman"/>
          <w:sz w:val="24"/>
          <w:szCs w:val="24"/>
          <w:lang w:val="es-ES" w:eastAsia="es-ES"/>
        </w:rPr>
        <w:t xml:space="preserve"> En adultos como antiagregante plaquetario se administrará 1 comprimido/día.</w:t>
      </w:r>
    </w:p>
    <w:p w14:paraId="4D718AF5"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En mujeres embarazadas, con riesgo de desarrollar hipertensión arterial, se administrará 1 comprimido/día.</w:t>
      </w:r>
    </w:p>
    <w:p w14:paraId="17ECBB2A"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AAS®125: En adultos como antiagregante plaquetario: 1 comprimido/día.</w:t>
      </w:r>
    </w:p>
    <w:p w14:paraId="6FD4EBC8"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En mujeres embarazadas con riesgo de desarrollar hipertensión arterial: 1 comprimido/día.</w:t>
      </w:r>
    </w:p>
    <w:p w14:paraId="56665A55"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AAS®500: 1 a 2 comprimidos 3 a 4 veces al día, de acuerdo al criterio médico.</w:t>
      </w:r>
    </w:p>
    <w:p w14:paraId="2FA44054"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CONTRAINDICACIONES:</w:t>
      </w:r>
    </w:p>
    <w:p w14:paraId="4B449B00"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Hipersensibilidad conocida a la droga.</w:t>
      </w:r>
    </w:p>
    <w:p w14:paraId="21FB2997"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En niños y adolescentes con enfermedad febril de origen virósico, debido al riesgo del Síndrome de Reye. Administrar con precaución en pacientes con gastritis, con posible desarrollo de úlcera gastroduodenal en pacientes asmáticos.</w:t>
      </w:r>
    </w:p>
    <w:p w14:paraId="3B77507C"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PRECAUCIONES Y ADVERTENCIAS:</w:t>
      </w:r>
    </w:p>
    <w:p w14:paraId="6B577B96"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Niños y adolescentes con enfermedad febril viral (específicamente varicela) debido al riesgo de aparición de Síndrome de Reye, relacionado con la ingesta de Acido Acetil Salicílico. Es por ello que se recomienda consultar al médico antes de administrarlo a niños y adolescentes, en caso de procesos febriles, gripes o varicela.</w:t>
      </w:r>
    </w:p>
    <w:p w14:paraId="162D21D4"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Si se presentan vómitos o letargo, debe interrumpirse el tratamiento y consultar inmediatamente al médico.</w:t>
      </w:r>
    </w:p>
    <w:p w14:paraId="5C779110"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REACCIONES ADVERSAS Y EFECTOS COLATERALES:</w:t>
      </w:r>
    </w:p>
    <w:p w14:paraId="720504DA"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Ocasionalmente se presentan disturbios gastrointestinales como náuseas, vómitos. Estos efectos suelen minimizarse cuando se administra con alimentos.</w:t>
      </w:r>
    </w:p>
    <w:p w14:paraId="45980A91"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INTERACCIONES CON ALIMENTOS Y MEDICAMENTOS:</w:t>
      </w:r>
    </w:p>
    <w:p w14:paraId="74DA41C0"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 xml:space="preserve">Puede potenciar el efecto de los anticoagulantes orales y antidiabéticos orales. Evitar administrar junto a </w:t>
      </w:r>
      <w:proofErr w:type="spellStart"/>
      <w:r w:rsidRPr="003A7FEB">
        <w:rPr>
          <w:rFonts w:ascii="Times New Roman" w:eastAsia="Times New Roman" w:hAnsi="Times New Roman" w:cs="Times New Roman"/>
          <w:sz w:val="24"/>
          <w:szCs w:val="24"/>
          <w:lang w:val="es-ES" w:eastAsia="es-ES"/>
        </w:rPr>
        <w:t>Probenecid</w:t>
      </w:r>
      <w:proofErr w:type="spellEnd"/>
      <w:r w:rsidRPr="003A7FEB">
        <w:rPr>
          <w:rFonts w:ascii="Times New Roman" w:eastAsia="Times New Roman" w:hAnsi="Times New Roman" w:cs="Times New Roman"/>
          <w:sz w:val="24"/>
          <w:szCs w:val="24"/>
          <w:lang w:val="es-ES" w:eastAsia="es-ES"/>
        </w:rPr>
        <w:t xml:space="preserve">. No se deben administrar con fármacos potencialmente </w:t>
      </w:r>
      <w:proofErr w:type="spellStart"/>
      <w:r w:rsidRPr="003A7FEB">
        <w:rPr>
          <w:rFonts w:ascii="Times New Roman" w:eastAsia="Times New Roman" w:hAnsi="Times New Roman" w:cs="Times New Roman"/>
          <w:sz w:val="24"/>
          <w:szCs w:val="24"/>
          <w:lang w:val="es-ES" w:eastAsia="es-ES"/>
        </w:rPr>
        <w:t>ulcerogénicos</w:t>
      </w:r>
      <w:proofErr w:type="spellEnd"/>
      <w:r w:rsidRPr="003A7FEB">
        <w:rPr>
          <w:rFonts w:ascii="Times New Roman" w:eastAsia="Times New Roman" w:hAnsi="Times New Roman" w:cs="Times New Roman"/>
          <w:sz w:val="24"/>
          <w:szCs w:val="24"/>
          <w:lang w:val="es-ES" w:eastAsia="es-ES"/>
        </w:rPr>
        <w:t xml:space="preserve">: Alcohol, corticoides, </w:t>
      </w:r>
      <w:proofErr w:type="spellStart"/>
      <w:r w:rsidRPr="003A7FEB">
        <w:rPr>
          <w:rFonts w:ascii="Times New Roman" w:eastAsia="Times New Roman" w:hAnsi="Times New Roman" w:cs="Times New Roman"/>
          <w:sz w:val="24"/>
          <w:szCs w:val="24"/>
          <w:lang w:val="es-ES" w:eastAsia="es-ES"/>
        </w:rPr>
        <w:t>AINEs</w:t>
      </w:r>
      <w:proofErr w:type="spellEnd"/>
      <w:r w:rsidRPr="003A7FEB">
        <w:rPr>
          <w:rFonts w:ascii="Times New Roman" w:eastAsia="Times New Roman" w:hAnsi="Times New Roman" w:cs="Times New Roman"/>
          <w:sz w:val="24"/>
          <w:szCs w:val="24"/>
          <w:lang w:val="es-ES" w:eastAsia="es-ES"/>
        </w:rPr>
        <w:t>.</w:t>
      </w:r>
    </w:p>
    <w:p w14:paraId="74196439"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Administrado junto a Metotrexato puede producir depresión medular ocasionalmente.</w:t>
      </w:r>
    </w:p>
    <w:p w14:paraId="0D26DA1E"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SOBREDOSIFICACION:</w:t>
      </w:r>
    </w:p>
    <w:p w14:paraId="268A6AAC"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lastRenderedPageBreak/>
        <w:t>La sintomatología de sobredosificación incluye cefalea, mareos, zumbido de oídos, visión borrosa, somnolencia, sudoración, náuseas, vómitos y ocasionalmente diarrea.</w:t>
      </w:r>
    </w:p>
    <w:p w14:paraId="272AFDAF"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El tratamiento es sintomático, incluyendo emesis, lavado gástrico, administración de carbón activado.</w:t>
      </w:r>
    </w:p>
    <w:p w14:paraId="3752FB11"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En casos graves, administración de cantidades adecuadas de líquidos intravenosos. Hemodiálisis en adultos y niños mayores y diálisis peritoneal en lactantes.</w:t>
      </w:r>
    </w:p>
    <w:p w14:paraId="05768283"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En caso de sobredosis o ingestión accidental, consultar al Servicio Hospitalario más cercano. En Paraguay, consultar al Servicio de Toxicología del Hospital de EMERGENCIAS MEDICAS Tel.: 220-418 o el 204-800 (</w:t>
      </w:r>
      <w:proofErr w:type="spellStart"/>
      <w:r w:rsidRPr="003A7FEB">
        <w:rPr>
          <w:rFonts w:ascii="Times New Roman" w:eastAsia="Times New Roman" w:hAnsi="Times New Roman" w:cs="Times New Roman"/>
          <w:sz w:val="24"/>
          <w:szCs w:val="24"/>
          <w:lang w:val="es-ES" w:eastAsia="es-ES"/>
        </w:rPr>
        <w:t>int</w:t>
      </w:r>
      <w:proofErr w:type="spellEnd"/>
      <w:r w:rsidRPr="003A7FEB">
        <w:rPr>
          <w:rFonts w:ascii="Times New Roman" w:eastAsia="Times New Roman" w:hAnsi="Times New Roman" w:cs="Times New Roman"/>
          <w:sz w:val="24"/>
          <w:szCs w:val="24"/>
          <w:lang w:val="es-ES" w:eastAsia="es-ES"/>
        </w:rPr>
        <w:t>. 011).</w:t>
      </w:r>
    </w:p>
    <w:p w14:paraId="2E798C12"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RESTRICCIONES DE USO:</w:t>
      </w:r>
    </w:p>
    <w:p w14:paraId="07FF5606"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 xml:space="preserve">Se restringe su uso a pacientes con antecedentes de úlcera péptica, gastritis o anormalidades de la coagulación; pacientes embarazadas en el último trimestre, debido a que puede prolongar el trabajo de parto y contribuir al sangrado materno y fetal; pacientes asmáticos, ya que puede precipitar una crisis. Los pacientes geriátricos suelen ser más sensibles a los efectos tóxicos, posiblemente debido a una menor función renal, por lo que pueden requerirse dosis menores, sobre todo en el uso a largo plazo. No se recomienda su uso en menores de 1 año. </w:t>
      </w:r>
    </w:p>
    <w:p w14:paraId="6993E298"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CONSERVACION:</w:t>
      </w:r>
    </w:p>
    <w:p w14:paraId="6968C6D2"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Almacenar a temperatura entre 15° y 30°C</w:t>
      </w:r>
    </w:p>
    <w:p w14:paraId="73A04BD0"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PRESENTACION:</w:t>
      </w:r>
    </w:p>
    <w:p w14:paraId="67896F7C"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Bolivia:</w:t>
      </w:r>
    </w:p>
    <w:p w14:paraId="1E86CAE1"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Envase conteniendo 30 comprimidos.</w:t>
      </w:r>
    </w:p>
    <w:p w14:paraId="3421E39E"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Paraguay:</w:t>
      </w:r>
    </w:p>
    <w:p w14:paraId="132601FD"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 xml:space="preserve">AAS®81: Caja conteniendo 30/100 comprimidos. </w:t>
      </w:r>
    </w:p>
    <w:p w14:paraId="3426F55E"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Venta Libre en Farmacia.</w:t>
      </w:r>
    </w:p>
    <w:p w14:paraId="559FE24D"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AAS®125: Caja conteniendo 20/30 comprimidos.</w:t>
      </w:r>
    </w:p>
    <w:p w14:paraId="71B984ED"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Venta Bajo Receta.</w:t>
      </w:r>
    </w:p>
    <w:p w14:paraId="752D79F2"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 xml:space="preserve">AAS®500: Caja conteniendo 30 comprimidos. </w:t>
      </w:r>
    </w:p>
    <w:p w14:paraId="6CAC30DF"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Venta Bajo Receta.</w:t>
      </w:r>
    </w:p>
    <w:p w14:paraId="24DBD3DF"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Estos medicamentos deben ser usados únicamente por prescripción médica y no podrán repetirse sin nueva indicación del facultativo.</w:t>
      </w:r>
    </w:p>
    <w:p w14:paraId="205BEB67"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lastRenderedPageBreak/>
        <w:t>En caso de uso de estos medicamentos sin prescripción médica, la ocurrencia de efectos adversos e indeseables, será de exclusiva responsabilidad de quien lo consuma.</w:t>
      </w:r>
    </w:p>
    <w:p w14:paraId="01629CA6"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Si Ud. es deportista y está sometido a control de doping, no consuma estos productos sin consultar a su médico.</w:t>
      </w:r>
    </w:p>
    <w:p w14:paraId="3F2031B2"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 xml:space="preserve">Paraguay: QUIMFA S.A. | D.T.: Q.F. Laura Ramírez - Reg. Prof. </w:t>
      </w:r>
      <w:proofErr w:type="spellStart"/>
      <w:r w:rsidRPr="003A7FEB">
        <w:rPr>
          <w:rFonts w:ascii="Times New Roman" w:eastAsia="Times New Roman" w:hAnsi="Times New Roman" w:cs="Times New Roman"/>
          <w:sz w:val="24"/>
          <w:szCs w:val="24"/>
          <w:lang w:val="es-ES" w:eastAsia="es-ES"/>
        </w:rPr>
        <w:t>Nº</w:t>
      </w:r>
      <w:proofErr w:type="spellEnd"/>
      <w:r w:rsidRPr="003A7FEB">
        <w:rPr>
          <w:rFonts w:ascii="Times New Roman" w:eastAsia="Times New Roman" w:hAnsi="Times New Roman" w:cs="Times New Roman"/>
          <w:sz w:val="24"/>
          <w:szCs w:val="24"/>
          <w:lang w:val="es-ES" w:eastAsia="es-ES"/>
        </w:rPr>
        <w:t xml:space="preserve"> 4142 Bolivia: Para QUIMFA BOLIVIA S.A. Calle Francisco Gutiérrez </w:t>
      </w:r>
      <w:proofErr w:type="spellStart"/>
      <w:r w:rsidRPr="003A7FEB">
        <w:rPr>
          <w:rFonts w:ascii="Times New Roman" w:eastAsia="Times New Roman" w:hAnsi="Times New Roman" w:cs="Times New Roman"/>
          <w:sz w:val="24"/>
          <w:szCs w:val="24"/>
          <w:lang w:val="es-ES" w:eastAsia="es-ES"/>
        </w:rPr>
        <w:t>Nº</w:t>
      </w:r>
      <w:proofErr w:type="spellEnd"/>
      <w:r w:rsidRPr="003A7FEB">
        <w:rPr>
          <w:rFonts w:ascii="Times New Roman" w:eastAsia="Times New Roman" w:hAnsi="Times New Roman" w:cs="Times New Roman"/>
          <w:sz w:val="24"/>
          <w:szCs w:val="24"/>
          <w:lang w:val="es-ES" w:eastAsia="es-ES"/>
        </w:rPr>
        <w:t xml:space="preserve"> 93 </w:t>
      </w:r>
      <w:proofErr w:type="spellStart"/>
      <w:r w:rsidRPr="003A7FEB">
        <w:rPr>
          <w:rFonts w:ascii="Times New Roman" w:eastAsia="Times New Roman" w:hAnsi="Times New Roman" w:cs="Times New Roman"/>
          <w:sz w:val="24"/>
          <w:szCs w:val="24"/>
          <w:lang w:val="es-ES" w:eastAsia="es-ES"/>
        </w:rPr>
        <w:t>Telef</w:t>
      </w:r>
      <w:proofErr w:type="spellEnd"/>
      <w:r w:rsidRPr="003A7FEB">
        <w:rPr>
          <w:rFonts w:ascii="Times New Roman" w:eastAsia="Times New Roman" w:hAnsi="Times New Roman" w:cs="Times New Roman"/>
          <w:sz w:val="24"/>
          <w:szCs w:val="24"/>
          <w:lang w:val="es-ES" w:eastAsia="es-ES"/>
        </w:rPr>
        <w:t xml:space="preserve">.: (591)-3-3333346 | Santa Cruz | D. T.: Farm. Lizeth </w:t>
      </w:r>
      <w:proofErr w:type="spellStart"/>
      <w:r w:rsidRPr="003A7FEB">
        <w:rPr>
          <w:rFonts w:ascii="Times New Roman" w:eastAsia="Times New Roman" w:hAnsi="Times New Roman" w:cs="Times New Roman"/>
          <w:sz w:val="24"/>
          <w:szCs w:val="24"/>
          <w:lang w:val="es-ES" w:eastAsia="es-ES"/>
        </w:rPr>
        <w:t>Yucra</w:t>
      </w:r>
      <w:proofErr w:type="spellEnd"/>
      <w:r w:rsidRPr="003A7FEB">
        <w:rPr>
          <w:rFonts w:ascii="Times New Roman" w:eastAsia="Times New Roman" w:hAnsi="Times New Roman" w:cs="Times New Roman"/>
          <w:sz w:val="24"/>
          <w:szCs w:val="24"/>
          <w:lang w:val="es-ES" w:eastAsia="es-ES"/>
        </w:rPr>
        <w:t xml:space="preserve"> Peredo - Mat. Prof.: Y-37 | Venta Bajo Receta Médica.</w:t>
      </w:r>
    </w:p>
    <w:p w14:paraId="511F45A4" w14:textId="77777777" w:rsidR="003A7FEB" w:rsidRPr="003A7FEB" w:rsidRDefault="003A7FEB" w:rsidP="003A7FEB">
      <w:pPr>
        <w:spacing w:before="100" w:beforeAutospacing="1" w:after="100" w:afterAutospacing="1" w:line="240" w:lineRule="auto"/>
        <w:rPr>
          <w:rFonts w:ascii="Times New Roman" w:eastAsia="Times New Roman" w:hAnsi="Times New Roman" w:cs="Times New Roman"/>
          <w:sz w:val="24"/>
          <w:szCs w:val="24"/>
          <w:lang w:val="es-ES" w:eastAsia="es-ES"/>
        </w:rPr>
      </w:pPr>
      <w:r w:rsidRPr="003A7FEB">
        <w:rPr>
          <w:rFonts w:ascii="Times New Roman" w:eastAsia="Times New Roman" w:hAnsi="Times New Roman" w:cs="Times New Roman"/>
          <w:sz w:val="24"/>
          <w:szCs w:val="24"/>
          <w:lang w:val="es-ES" w:eastAsia="es-ES"/>
        </w:rPr>
        <w:t>MANTENER FUERA DEL ALCANCE DE LOS NIÑOS</w:t>
      </w:r>
    </w:p>
    <w:p w14:paraId="52B23716" w14:textId="77777777" w:rsidR="0078138D" w:rsidRPr="003A7FEB" w:rsidRDefault="0078138D" w:rsidP="003A7FEB"/>
    <w:sectPr w:rsidR="0078138D" w:rsidRPr="003A7F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41A"/>
    <w:rsid w:val="003358D5"/>
    <w:rsid w:val="003A7FEB"/>
    <w:rsid w:val="004C53D1"/>
    <w:rsid w:val="005A3921"/>
    <w:rsid w:val="0078138D"/>
    <w:rsid w:val="00C1341A"/>
    <w:rsid w:val="00F143D2"/>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B6027"/>
  <w15:chartTrackingRefBased/>
  <w15:docId w15:val="{D9915CAB-BBCC-447C-800B-605AECC2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1341A"/>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41601">
      <w:bodyDiv w:val="1"/>
      <w:marLeft w:val="0"/>
      <w:marRight w:val="0"/>
      <w:marTop w:val="0"/>
      <w:marBottom w:val="0"/>
      <w:divBdr>
        <w:top w:val="none" w:sz="0" w:space="0" w:color="auto"/>
        <w:left w:val="none" w:sz="0" w:space="0" w:color="auto"/>
        <w:bottom w:val="none" w:sz="0" w:space="0" w:color="auto"/>
        <w:right w:val="none" w:sz="0" w:space="0" w:color="auto"/>
      </w:divBdr>
    </w:div>
    <w:div w:id="728188175">
      <w:bodyDiv w:val="1"/>
      <w:marLeft w:val="0"/>
      <w:marRight w:val="0"/>
      <w:marTop w:val="0"/>
      <w:marBottom w:val="0"/>
      <w:divBdr>
        <w:top w:val="none" w:sz="0" w:space="0" w:color="auto"/>
        <w:left w:val="none" w:sz="0" w:space="0" w:color="auto"/>
        <w:bottom w:val="none" w:sz="0" w:space="0" w:color="auto"/>
        <w:right w:val="none" w:sz="0" w:space="0" w:color="auto"/>
      </w:divBdr>
    </w:div>
    <w:div w:id="904528811">
      <w:bodyDiv w:val="1"/>
      <w:marLeft w:val="0"/>
      <w:marRight w:val="0"/>
      <w:marTop w:val="0"/>
      <w:marBottom w:val="0"/>
      <w:divBdr>
        <w:top w:val="none" w:sz="0" w:space="0" w:color="auto"/>
        <w:left w:val="none" w:sz="0" w:space="0" w:color="auto"/>
        <w:bottom w:val="none" w:sz="0" w:space="0" w:color="auto"/>
        <w:right w:val="none" w:sz="0" w:space="0" w:color="auto"/>
      </w:divBdr>
    </w:div>
    <w:div w:id="1078483248">
      <w:bodyDiv w:val="1"/>
      <w:marLeft w:val="0"/>
      <w:marRight w:val="0"/>
      <w:marTop w:val="0"/>
      <w:marBottom w:val="0"/>
      <w:divBdr>
        <w:top w:val="none" w:sz="0" w:space="0" w:color="auto"/>
        <w:left w:val="none" w:sz="0" w:space="0" w:color="auto"/>
        <w:bottom w:val="none" w:sz="0" w:space="0" w:color="auto"/>
        <w:right w:val="none" w:sz="0" w:space="0" w:color="auto"/>
      </w:divBdr>
    </w:div>
    <w:div w:id="1592543125">
      <w:bodyDiv w:val="1"/>
      <w:marLeft w:val="0"/>
      <w:marRight w:val="0"/>
      <w:marTop w:val="0"/>
      <w:marBottom w:val="0"/>
      <w:divBdr>
        <w:top w:val="none" w:sz="0" w:space="0" w:color="auto"/>
        <w:left w:val="none" w:sz="0" w:space="0" w:color="auto"/>
        <w:bottom w:val="none" w:sz="0" w:space="0" w:color="auto"/>
        <w:right w:val="none" w:sz="0" w:space="0" w:color="auto"/>
      </w:divBdr>
    </w:div>
    <w:div w:id="17427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1143</Words>
  <Characters>6817</Characters>
  <Application>Microsoft Office Word</Application>
  <DocSecurity>0</DocSecurity>
  <Lines>133</Lines>
  <Paragraphs>80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Danilo Rolon</cp:lastModifiedBy>
  <cp:revision>2</cp:revision>
  <dcterms:created xsi:type="dcterms:W3CDTF">2020-12-07T18:39:00Z</dcterms:created>
  <dcterms:modified xsi:type="dcterms:W3CDTF">2020-12-07T18:39:00Z</dcterms:modified>
</cp:coreProperties>
</file>