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A25" w:rsidRDefault="00502A25" w:rsidP="00502A25">
      <w:pPr>
        <w:pStyle w:val="NormalWeb"/>
      </w:pPr>
      <w:r>
        <w:t>CINALENT®</w:t>
      </w:r>
    </w:p>
    <w:p w:rsidR="00502A25" w:rsidRDefault="00502A25" w:rsidP="00502A25">
      <w:pPr>
        <w:pStyle w:val="NormalWeb"/>
      </w:pPr>
      <w:r>
        <w:t>CINITAPRIDA 1 mg</w:t>
      </w:r>
    </w:p>
    <w:p w:rsidR="00502A25" w:rsidRDefault="00502A25" w:rsidP="00502A25">
      <w:pPr>
        <w:pStyle w:val="NormalWeb"/>
      </w:pPr>
      <w:r>
        <w:t>FÓRMULA:</w:t>
      </w:r>
    </w:p>
    <w:p w:rsidR="00502A25" w:rsidRDefault="00502A25" w:rsidP="00502A25">
      <w:pPr>
        <w:pStyle w:val="NormalWeb"/>
      </w:pPr>
      <w:r>
        <w:t>Cada comprimido contiene:</w:t>
      </w:r>
    </w:p>
    <w:p w:rsidR="00502A25" w:rsidRDefault="00502A25" w:rsidP="00502A25">
      <w:pPr>
        <w:pStyle w:val="NormalWeb"/>
      </w:pPr>
      <w:r>
        <w:t>Cinitaprida (Equiv. a 1.4 mg de Cinitaprida Tartrato Ácido)….…...............................….. 1 mg.</w:t>
      </w:r>
    </w:p>
    <w:p w:rsidR="00502A25" w:rsidRDefault="00502A25" w:rsidP="00502A25">
      <w:pPr>
        <w:pStyle w:val="NormalWeb"/>
      </w:pPr>
      <w:proofErr w:type="gramStart"/>
      <w:r>
        <w:t>Excipientes …</w:t>
      </w:r>
      <w:proofErr w:type="gramEnd"/>
      <w:r>
        <w:t>……………. ………………………………........................................……..c.s.p.</w:t>
      </w:r>
    </w:p>
    <w:p w:rsidR="00502A25" w:rsidRDefault="00502A25" w:rsidP="00502A25">
      <w:pPr>
        <w:pStyle w:val="NormalWeb"/>
      </w:pPr>
      <w:r>
        <w:t>(Celulosa Microcristalina PH 102, Dióxido de Silicio coloidal, Croscarmelosa sódica, Estearato de magnesio).</w:t>
      </w:r>
    </w:p>
    <w:p w:rsidR="00502A25" w:rsidRDefault="00502A25" w:rsidP="00502A25">
      <w:pPr>
        <w:pStyle w:val="NormalWeb"/>
      </w:pPr>
      <w:r>
        <w:t>ACCIÓN TERAPEUTICA:</w:t>
      </w:r>
    </w:p>
    <w:p w:rsidR="00502A25" w:rsidRDefault="00502A25" w:rsidP="00502A25">
      <w:pPr>
        <w:pStyle w:val="NormalWeb"/>
      </w:pPr>
      <w:r>
        <w:t>Gastrocinético.</w:t>
      </w:r>
    </w:p>
    <w:p w:rsidR="00502A25" w:rsidRDefault="00502A25" w:rsidP="00502A25">
      <w:pPr>
        <w:pStyle w:val="NormalWeb"/>
      </w:pPr>
      <w:r>
        <w:t>PROPIEDADES FARMACOLOGICAS</w:t>
      </w:r>
    </w:p>
    <w:p w:rsidR="00502A25" w:rsidRDefault="00502A25" w:rsidP="00502A25">
      <w:pPr>
        <w:pStyle w:val="NormalWeb"/>
      </w:pPr>
      <w:r>
        <w:t>Propiedades farmacodinámicas</w:t>
      </w:r>
    </w:p>
    <w:p w:rsidR="00502A25" w:rsidRDefault="00502A25" w:rsidP="00502A25">
      <w:pPr>
        <w:pStyle w:val="NormalWeb"/>
      </w:pPr>
      <w:r>
        <w:t>Grupo farmacoterapéutico: Procinéticos. Código ATC: A03FA</w:t>
      </w:r>
    </w:p>
    <w:p w:rsidR="00502A25" w:rsidRDefault="00502A25" w:rsidP="00502A25">
      <w:pPr>
        <w:pStyle w:val="NormalWeb"/>
      </w:pPr>
      <w:r>
        <w:t>Cinitaprida es una ortopramida con actividad procinética a nivel del tracto gastrointestinal que posee una marcada acción procolinérgica. Mediante el bloqueo de los receptores presinápticos para la serotonina, aumenta la liberación de la misma resultando en una mayor actividad serotoninérgica. Su actividad antidopaminérgica, aunque discreta, contribuye al efectoterapéutico.</w:t>
      </w:r>
    </w:p>
    <w:p w:rsidR="00502A25" w:rsidRDefault="00502A25" w:rsidP="00502A25">
      <w:pPr>
        <w:pStyle w:val="NormalWeb"/>
      </w:pPr>
      <w:r>
        <w:t>La administración de Cinitaprida en animales de experimentación ha demostrado que ejerce su acción procinética desde el esfínter esofágico inferior hasta el intestino grueso. Cinitaprida favorece la evacuación gástrica de semisólidos en la rata; estimula la motilidad en íleon aislado de cobayo; incrementa la presión intraluminal en el estómago, duodeno e íleon en el perro consciente; e incrementa la presión del esfínter esofágico inferior y la actividad mecánica del duodeno y colon en el perro anestesiado. Acelera el tránsito intestinal en el ratón.</w:t>
      </w:r>
    </w:p>
    <w:p w:rsidR="00502A25" w:rsidRDefault="00502A25" w:rsidP="00502A25">
      <w:pPr>
        <w:pStyle w:val="NormalWeb"/>
      </w:pPr>
      <w:r>
        <w:t>En ensayos clínicos efectuados en pacientes y en voluntarios sanos, Cinitaprida ha demostrado que antagoniza la gastroparesia y los vómitos inducidos por L-dopa.</w:t>
      </w:r>
    </w:p>
    <w:p w:rsidR="00502A25" w:rsidRDefault="00502A25" w:rsidP="00502A25">
      <w:pPr>
        <w:pStyle w:val="NormalWeb"/>
      </w:pPr>
      <w:r>
        <w:t>En un estudio comparativo con placebo, la Cinitaprida aceleró de forma significativa el tiempo de evacuación gástrica en pacientes con retraso patológico del vaciamiento gástrico. Cinitaprida mejora la sintomatología clínica de los pacientes con dispepsia asociada a enlentecimiento del vaciamiento gástrico y retraso del tránsito gastrointestinal.</w:t>
      </w:r>
    </w:p>
    <w:p w:rsidR="00502A25" w:rsidRDefault="00502A25" w:rsidP="00502A25">
      <w:pPr>
        <w:pStyle w:val="NormalWeb"/>
      </w:pPr>
      <w:r>
        <w:lastRenderedPageBreak/>
        <w:t>En pacientes afectos de reflujo gastroesofágico, Cinitaprida reduce el número y la duración de los episodios de reflujo, así como el tiempo con pH esofágico inferior a 4, mejorando notablemente la sintomatología propia de esta enfermedad. La eficacia en este último caso puede deberse no sólo al incremento de la presión del esfínter esofágico inferior sino también a la facilitación del vaciamiento gástrico.</w:t>
      </w:r>
    </w:p>
    <w:p w:rsidR="00502A25" w:rsidRDefault="00502A25" w:rsidP="00502A25">
      <w:pPr>
        <w:pStyle w:val="NormalWeb"/>
      </w:pPr>
      <w:r>
        <w:t>Propiedades farmacocinéticas</w:t>
      </w:r>
    </w:p>
    <w:p w:rsidR="00502A25" w:rsidRDefault="00502A25" w:rsidP="00502A25">
      <w:pPr>
        <w:pStyle w:val="NormalWeb"/>
      </w:pPr>
      <w:r>
        <w:t>La farmacocinética de la Cinitaprida en ratas, tras su administración endovenosa, se ajustó mejor a un modelo bicompartimental, con un volumen de distribución amplio (9,9 l/kg) y una velocidad de eliminación relativamente lenta (51-83 min). No se detectaron metabolitos en plasma al utilizar esta vía de administración.</w:t>
      </w:r>
    </w:p>
    <w:p w:rsidR="00502A25" w:rsidRDefault="00502A25" w:rsidP="00502A25">
      <w:pPr>
        <w:pStyle w:val="NormalWeb"/>
      </w:pPr>
      <w:r>
        <w:t>Cuando se administró por vía oral se demostró que existe un importante metabolismo de primer paso. Un 30% de la dosis administrada se recuperó en bilis de 48 horas.</w:t>
      </w:r>
    </w:p>
    <w:p w:rsidR="00502A25" w:rsidRDefault="00502A25" w:rsidP="00502A25">
      <w:pPr>
        <w:pStyle w:val="NormalWeb"/>
      </w:pPr>
      <w:r>
        <w:t>Estudios realizados in vitro en microsomas recombinantes sugieren que Cinitaprida se metaboliza a través del CYP3A4 y en menor medida del CYP2C8.</w:t>
      </w:r>
    </w:p>
    <w:p w:rsidR="00502A25" w:rsidRDefault="00502A25" w:rsidP="00502A25">
      <w:pPr>
        <w:pStyle w:val="NormalWeb"/>
      </w:pPr>
      <w:r>
        <w:t>Los estudios farmacocinéticos realizados en el hombre se han efectuado después de la administración oral e intramuscular con dosis superiores a las terapéuticas, debido a la ausencia de un método analítico con la suficiente sensibilidad para detectar las concentraciones plasmáticas que se alcanzan con la dosis recomendada.</w:t>
      </w:r>
    </w:p>
    <w:p w:rsidR="00502A25" w:rsidRDefault="00502A25" w:rsidP="00502A25">
      <w:pPr>
        <w:pStyle w:val="NormalWeb"/>
      </w:pPr>
      <w:r>
        <w:t>Dichos estudios han demostrado que tras la administración oral de Cinitaprida se alcanzan niveles plasmáticos máximos a las dos horas. La semivida de eliminación es de 3 a 5 horas durante las primeras 8 horas, con una semivida residual superior a las 15 horas a partir de este momento, aunque con unos niveles plasmáticos extremadamente bajos.</w:t>
      </w:r>
    </w:p>
    <w:p w:rsidR="00502A25" w:rsidRDefault="00502A25" w:rsidP="00502A25">
      <w:pPr>
        <w:pStyle w:val="NormalWeb"/>
      </w:pPr>
      <w:r>
        <w:t>Dicho perfil farmacocinético aconseja, como régimen posológico más adecuado, la administración fraccionada tres veces al día. No se ha observado acumulación tras la administración repetida de Cinitaprida.</w:t>
      </w:r>
    </w:p>
    <w:p w:rsidR="00502A25" w:rsidRDefault="00502A25" w:rsidP="00502A25">
      <w:pPr>
        <w:pStyle w:val="NormalWeb"/>
      </w:pPr>
      <w:r>
        <w:t>DATOS PRECLÍNICOS SOBRE SEGURIDAD</w:t>
      </w:r>
    </w:p>
    <w:p w:rsidR="00502A25" w:rsidRDefault="00502A25" w:rsidP="00502A25">
      <w:pPr>
        <w:pStyle w:val="NormalWeb"/>
      </w:pPr>
      <w:r>
        <w:t>Cinitaprida posee una baja toxicidad y un elevado índice terapéutico. Los estudios de toxicidad subcrónica y crónica, tanto en ratas como en perros, no han dado lugar a efectos inesperados, confirmando la inocuidad de Cinitaprida a largo plazo.</w:t>
      </w:r>
    </w:p>
    <w:p w:rsidR="00502A25" w:rsidRDefault="00502A25" w:rsidP="00502A25">
      <w:pPr>
        <w:pStyle w:val="NormalWeb"/>
      </w:pPr>
      <w:r>
        <w:t>Los estudios de toxicidad reproductiva y mutagenicidad no han puesto de manifiesto ninguna anomalía.</w:t>
      </w:r>
    </w:p>
    <w:p w:rsidR="00502A25" w:rsidRDefault="00502A25" w:rsidP="00502A25">
      <w:pPr>
        <w:pStyle w:val="NormalWeb"/>
      </w:pPr>
      <w:r>
        <w:t>Estudios electrofisiológicos in vitro muestran que Cinitaprida, bajo ciertas condiciones, puede prolongar la repolarización cardíaca. A concentraciones mayores de 100 veces la concentración plasmática encontrada en humanos a la dosis terapéutica, Cinitaprida bloquea de forma dosis-dependiente los canales HERG expresados en células HEK-293 y prolonga la duración del potencial de acción en fibras aisladas de Purkinje de cerdo. Por el contrario, a dosis muy altas (30 mg/kg por vía oral) carece de efecto sobre el intervalo QT en estudios electrofisiológicos in vivo en cobayos conscientes.</w:t>
      </w:r>
    </w:p>
    <w:p w:rsidR="00502A25" w:rsidRDefault="00502A25" w:rsidP="00502A25">
      <w:pPr>
        <w:pStyle w:val="NormalWeb"/>
      </w:pPr>
      <w:r>
        <w:lastRenderedPageBreak/>
        <w:t>INDICACIONES TERAPEUTICAS</w:t>
      </w:r>
    </w:p>
    <w:p w:rsidR="00502A25" w:rsidRDefault="00502A25" w:rsidP="00502A25">
      <w:pPr>
        <w:pStyle w:val="NormalWeb"/>
      </w:pPr>
      <w:r>
        <w:t>- Tratamiento de la dispepsia tipo dismotilidad leve-moderada.</w:t>
      </w:r>
    </w:p>
    <w:p w:rsidR="00502A25" w:rsidRDefault="00502A25" w:rsidP="00502A25">
      <w:pPr>
        <w:pStyle w:val="NormalWeb"/>
      </w:pPr>
      <w:r>
        <w:t>- Como tratamiento coadyuvante del reflujo gastroesofágico en pacientes en los que los inhibidores de la bomba de protones se hayan mostrado insuficientes.</w:t>
      </w:r>
    </w:p>
    <w:p w:rsidR="00502A25" w:rsidRDefault="00502A25" w:rsidP="00502A25">
      <w:pPr>
        <w:pStyle w:val="NormalWeb"/>
      </w:pPr>
      <w:r>
        <w:t>POSOLOGIA Y FORMA DE ADMINISTRACIÓN</w:t>
      </w:r>
    </w:p>
    <w:p w:rsidR="00502A25" w:rsidRDefault="00502A25" w:rsidP="00502A25">
      <w:pPr>
        <w:pStyle w:val="NormalWeb"/>
      </w:pPr>
      <w:r>
        <w:t>Adultos (mayores de 20 años): 1 comprimido, 3 veces al día, 15 minutos antes de cada comida.</w:t>
      </w:r>
    </w:p>
    <w:p w:rsidR="00502A25" w:rsidRDefault="00502A25" w:rsidP="00502A25">
      <w:pPr>
        <w:pStyle w:val="NormalWeb"/>
      </w:pPr>
      <w:r>
        <w:t>No es más eficaz ni conveniente aumentar la dosis recomendada.</w:t>
      </w:r>
    </w:p>
    <w:p w:rsidR="00502A25" w:rsidRDefault="00502A25" w:rsidP="00502A25">
      <w:pPr>
        <w:pStyle w:val="NormalWeb"/>
      </w:pPr>
      <w:r>
        <w:t>Población pediátrica: No se aconseja la administración de Cinitaprida en niños y adolescentes, por no disponer de experiencia de su uso en estos grupos de edades.</w:t>
      </w:r>
    </w:p>
    <w:p w:rsidR="00502A25" w:rsidRDefault="00502A25" w:rsidP="00502A25">
      <w:pPr>
        <w:pStyle w:val="NormalWeb"/>
      </w:pPr>
      <w:r>
        <w:t>CONTRAINDICACIONES</w:t>
      </w:r>
    </w:p>
    <w:p w:rsidR="00502A25" w:rsidRDefault="00502A25" w:rsidP="00502A25">
      <w:pPr>
        <w:pStyle w:val="NormalWeb"/>
      </w:pPr>
      <w:r>
        <w:t>Hipersensibilidad al principio activo o a alguno de los excipientes incluidos en la fórmula del producto.</w:t>
      </w:r>
    </w:p>
    <w:p w:rsidR="00502A25" w:rsidRDefault="00502A25" w:rsidP="00502A25">
      <w:pPr>
        <w:pStyle w:val="NormalWeb"/>
      </w:pPr>
      <w:r>
        <w:t>Cinitaprida no debe administrarse a pacientes en los que la estimulación de la motilidad gástrica pueda resultar perjudicial, ya sea por la presencia de hemorragias, obstrucciones o perforaciones, ni tampoco a pacientes con probada disquinesia tardía a neurolépticos.</w:t>
      </w:r>
    </w:p>
    <w:p w:rsidR="00502A25" w:rsidRDefault="00502A25" w:rsidP="00502A25">
      <w:pPr>
        <w:pStyle w:val="NormalWeb"/>
      </w:pPr>
      <w:r>
        <w:t>ADVERTENCIAS Y PRECAUCIONES ESPECIALES DE EMPLEO</w:t>
      </w:r>
    </w:p>
    <w:p w:rsidR="00502A25" w:rsidRDefault="00502A25" w:rsidP="00502A25">
      <w:pPr>
        <w:pStyle w:val="NormalWeb"/>
      </w:pPr>
      <w:r>
        <w:t>En pacientes de edad avanzada sometidos a tratamientos prolongados, pueden originarse disquinesias tardías.</w:t>
      </w:r>
    </w:p>
    <w:p w:rsidR="00502A25" w:rsidRDefault="00502A25" w:rsidP="00502A25">
      <w:pPr>
        <w:pStyle w:val="NormalWeb"/>
      </w:pPr>
      <w:r>
        <w:t>Aunque estudios in vitro a concentraciones muy por encima de las concentraciones plasmáticas encontradas en la clínica, sugieren que Cinitaprida puede prolongar la repolarización cardíaca, estudios in vivo, tanto en animales como en humanos, han mostrado la ausencia de efecto sobre el electrocardiograma y en especial sobre el intervalo QT.</w:t>
      </w:r>
    </w:p>
    <w:p w:rsidR="00502A25" w:rsidRDefault="00502A25" w:rsidP="00502A25">
      <w:pPr>
        <w:pStyle w:val="NormalWeb"/>
      </w:pPr>
      <w:r>
        <w:t>INTERACCIÓN CON OTROS MEDICAMENTOS Y OTRAS FORMAS DE INTERACCIÓN</w:t>
      </w:r>
    </w:p>
    <w:p w:rsidR="00502A25" w:rsidRDefault="00502A25" w:rsidP="00502A25">
      <w:pPr>
        <w:pStyle w:val="NormalWeb"/>
      </w:pPr>
      <w:r>
        <w:t>La estimulación del vaciado gástrico que produce Cinitaprida puede alterar la absorción de algunos fármacos. El paciente debe indicar al médico si está en tratamiento con otros fármacos.</w:t>
      </w:r>
    </w:p>
    <w:p w:rsidR="00502A25" w:rsidRDefault="00502A25" w:rsidP="00502A25">
      <w:pPr>
        <w:pStyle w:val="NormalWeb"/>
      </w:pPr>
      <w:r>
        <w:t>Potencia los efectos de las fenotiazinas y otros antidopaminérgicos sobre el Sistema Nervioso Central.</w:t>
      </w:r>
    </w:p>
    <w:p w:rsidR="00502A25" w:rsidRDefault="00502A25" w:rsidP="00502A25">
      <w:pPr>
        <w:pStyle w:val="NormalWeb"/>
      </w:pPr>
      <w:r>
        <w:t>Puede disminuir el efecto de la Digoxina mediante una reducción en su absorción.</w:t>
      </w:r>
    </w:p>
    <w:p w:rsidR="00502A25" w:rsidRDefault="00502A25" w:rsidP="00502A25">
      <w:pPr>
        <w:pStyle w:val="NormalWeb"/>
      </w:pPr>
      <w:r>
        <w:lastRenderedPageBreak/>
        <w:t>Sus acciones sobre el tracto digestivo pueden reducirse por los anticolinérgicos atropínicos y los analgésicos opiáceos.</w:t>
      </w:r>
    </w:p>
    <w:p w:rsidR="00502A25" w:rsidRDefault="00502A25" w:rsidP="00502A25">
      <w:pPr>
        <w:pStyle w:val="NormalWeb"/>
      </w:pPr>
      <w:r>
        <w:t xml:space="preserve">Su administración unida a alcohol, </w:t>
      </w:r>
      <w:proofErr w:type="gramStart"/>
      <w:r>
        <w:t>tranquilizantes, hipnóticos o narcóticos</w:t>
      </w:r>
      <w:proofErr w:type="gramEnd"/>
      <w:r>
        <w:t xml:space="preserve"> potencia los efectos sedantes.</w:t>
      </w:r>
    </w:p>
    <w:p w:rsidR="00502A25" w:rsidRDefault="00502A25" w:rsidP="00502A25">
      <w:pPr>
        <w:pStyle w:val="NormalWeb"/>
      </w:pPr>
      <w:r>
        <w:t>In vitro, Cinitaprida se metaboliza mayoritariamente a través del CYP3A4 (y en menor medida del CYP2C8), por lo que el uso concomitante, oral o parenteral, de fármacos que inhiben significativamente este isoenzima podría alterar su farmacocinética; ejemplos de tales fármacos son:</w:t>
      </w:r>
    </w:p>
    <w:p w:rsidR="00502A25" w:rsidRDefault="00502A25" w:rsidP="00502A25">
      <w:pPr>
        <w:pStyle w:val="NormalWeb"/>
      </w:pPr>
      <w:r>
        <w:t>- Azoles antifúngicos como Ketoconazol, Itraconazol, Miconazol y Fluconazol. De todos modos, un estudio en humanos a dosis repetidas de Cinitaprida, en ausencia y en presencia de Ketoconazol, ha mostrado que la interacción farmacocinética no es grande, ya que el promedio de los valores del área bajo la curva de Cinitaprida aumentó aproximadamente 2 veces (rango 0,9 - 4,3; I.C. 95%: 1,5 - 2,4).</w:t>
      </w:r>
    </w:p>
    <w:p w:rsidR="00502A25" w:rsidRDefault="00502A25" w:rsidP="00502A25">
      <w:pPr>
        <w:pStyle w:val="NormalWeb"/>
      </w:pPr>
      <w:r>
        <w:t>- VIH inhibidores de la proteasa, principalmente Indinavir y Ritonavir.</w:t>
      </w:r>
    </w:p>
    <w:p w:rsidR="00502A25" w:rsidRDefault="00502A25" w:rsidP="00502A25">
      <w:pPr>
        <w:pStyle w:val="NormalWeb"/>
      </w:pPr>
      <w:r>
        <w:t xml:space="preserve">- Antibióticos macrólidos como Eritromicina, Claritromicina o Troleandomicina. </w:t>
      </w:r>
    </w:p>
    <w:p w:rsidR="00502A25" w:rsidRDefault="00502A25" w:rsidP="00502A25">
      <w:pPr>
        <w:pStyle w:val="NormalWeb"/>
      </w:pPr>
      <w:r>
        <w:t>- El antidepresivo Nefazodona.</w:t>
      </w:r>
    </w:p>
    <w:p w:rsidR="00502A25" w:rsidRDefault="00502A25" w:rsidP="00502A25">
      <w:pPr>
        <w:pStyle w:val="NormalWeb"/>
      </w:pPr>
      <w:r>
        <w:t>Fertilidad, embarazo y lactancia</w:t>
      </w:r>
    </w:p>
    <w:p w:rsidR="00502A25" w:rsidRDefault="00502A25" w:rsidP="00502A25">
      <w:pPr>
        <w:pStyle w:val="NormalWeb"/>
      </w:pPr>
      <w:r>
        <w:t>Fertilidad:</w:t>
      </w:r>
    </w:p>
    <w:p w:rsidR="00502A25" w:rsidRDefault="00502A25" w:rsidP="00502A25">
      <w:pPr>
        <w:pStyle w:val="NormalWeb"/>
      </w:pPr>
      <w:r>
        <w:t>No se dispone de datos de fertilidad con el uso de Cinitaprida en humanos.</w:t>
      </w:r>
    </w:p>
    <w:p w:rsidR="00502A25" w:rsidRDefault="00502A25" w:rsidP="00502A25">
      <w:pPr>
        <w:pStyle w:val="NormalWeb"/>
      </w:pPr>
      <w:r>
        <w:t>Embarazo:</w:t>
      </w:r>
    </w:p>
    <w:p w:rsidR="00502A25" w:rsidRDefault="00502A25" w:rsidP="00502A25">
      <w:pPr>
        <w:pStyle w:val="NormalWeb"/>
      </w:pPr>
      <w:r>
        <w:t>No hay datos relativos al uso de Cinitaprida en mujeres embarazadas. Los estudios en animales no sugieren efectos perjudiciales directos ni indirectos en términos de toxicidad para la reproducción. Como medida de precaución es preferible evitar el uso de Cinitaprida durante el embarazo.</w:t>
      </w:r>
    </w:p>
    <w:p w:rsidR="00502A25" w:rsidRDefault="00502A25" w:rsidP="00502A25">
      <w:pPr>
        <w:pStyle w:val="NormalWeb"/>
      </w:pPr>
      <w:r>
        <w:t>En caso de ser necesaria su utilización el médico debe valorar la relación riesgo/beneficio.</w:t>
      </w:r>
    </w:p>
    <w:p w:rsidR="00502A25" w:rsidRDefault="00502A25" w:rsidP="00502A25">
      <w:pPr>
        <w:pStyle w:val="NormalWeb"/>
      </w:pPr>
      <w:r>
        <w:t>Lactancia:</w:t>
      </w:r>
    </w:p>
    <w:p w:rsidR="00502A25" w:rsidRDefault="00502A25" w:rsidP="00502A25">
      <w:pPr>
        <w:pStyle w:val="NormalWeb"/>
      </w:pPr>
      <w:r>
        <w:t>Se desconoce si Cinitaprida se excreta en la leche materna. Como medida de precaución, es preferible evitar el uso de Cinitaprida durante la lactancia.</w:t>
      </w:r>
    </w:p>
    <w:p w:rsidR="00502A25" w:rsidRDefault="00502A25" w:rsidP="00502A25">
      <w:pPr>
        <w:pStyle w:val="NormalWeb"/>
      </w:pPr>
      <w:r>
        <w:t>Efectos sobre la capacidad para conducir y utilizar máquinas</w:t>
      </w:r>
    </w:p>
    <w:p w:rsidR="00502A25" w:rsidRDefault="00502A25" w:rsidP="00502A25">
      <w:pPr>
        <w:pStyle w:val="NormalWeb"/>
      </w:pPr>
      <w:r>
        <w:t>Durante el tratamiento con Cinitaprida deben evitarse situaciones que requieran un estado especial de alerta, como la conducción de vehículos o el manejo de maquinaria peligrosa.</w:t>
      </w:r>
    </w:p>
    <w:p w:rsidR="00502A25" w:rsidRDefault="00502A25" w:rsidP="00502A25">
      <w:pPr>
        <w:pStyle w:val="NormalWeb"/>
      </w:pPr>
      <w:r>
        <w:lastRenderedPageBreak/>
        <w:t xml:space="preserve">REACCIONES ADVERSAS </w:t>
      </w:r>
    </w:p>
    <w:p w:rsidR="00502A25" w:rsidRDefault="00502A25" w:rsidP="00502A25">
      <w:pPr>
        <w:pStyle w:val="NormalWeb"/>
      </w:pPr>
      <w:r>
        <w:t>Cinitaprida ha sido ampliamente estudiada en voluntarios sanos adultos y en pacientes con trastornos de la motilidad gastrointestinal, tanto en ensayos controlados con placebo como en otros ensayos clínicos de diseño abierto comparativos y no comparativos. También se dispone de experiencia post-comercialización desde la primera autorización de Cinitaprida en 1989.</w:t>
      </w:r>
    </w:p>
    <w:p w:rsidR="00502A25" w:rsidRDefault="00502A25" w:rsidP="00502A25">
      <w:pPr>
        <w:pStyle w:val="NormalWeb"/>
      </w:pPr>
      <w:r>
        <w:t>En la tabla siguiente se enumeran las reacciones adversas notificadas en los ensayos clínicos y en la experiencia post-comercialización de acuerdo con la siguiente convención: muy frecuentes (e 1/10), frecuentes (de e 1/100 a &lt; 1/10), poco frecuentes (de e 1/1.000 a &lt; 1/100), raras (de e 1/10.000 a &lt; 1/1.000) y muy raras (&lt; 1/10.000).</w:t>
      </w:r>
    </w:p>
    <w:p w:rsidR="00502A25" w:rsidRDefault="00502A25" w:rsidP="00502A25">
      <w:pPr>
        <w:pStyle w:val="NormalWeb"/>
      </w:pPr>
      <w:r>
        <w:t>*Frecuencia no conocida (no puede ser estimado a partir de los datos disponibles) **Pueden originarse reacciones extrapiramidales con espasmos de los músculos de la cara, cuello y lengua, que desaparecen suspendiendo el tratamiento</w:t>
      </w:r>
    </w:p>
    <w:p w:rsidR="00502A25" w:rsidRDefault="00502A25" w:rsidP="00502A25">
      <w:pPr>
        <w:pStyle w:val="NormalWeb"/>
      </w:pPr>
      <w:r>
        <w:t>INCOMPATIBILIDADES</w:t>
      </w:r>
    </w:p>
    <w:p w:rsidR="00502A25" w:rsidRDefault="00502A25" w:rsidP="00502A25">
      <w:pPr>
        <w:pStyle w:val="NormalWeb"/>
      </w:pPr>
      <w:r>
        <w:t>No procede.</w:t>
      </w:r>
    </w:p>
    <w:p w:rsidR="00502A25" w:rsidRDefault="00502A25" w:rsidP="00502A25">
      <w:pPr>
        <w:pStyle w:val="NormalWeb"/>
      </w:pPr>
      <w:r>
        <w:t>SOBREDOSIFICACIÓN</w:t>
      </w:r>
    </w:p>
    <w:p w:rsidR="00502A25" w:rsidRDefault="00502A25" w:rsidP="00502A25">
      <w:pPr>
        <w:pStyle w:val="NormalWeb"/>
      </w:pPr>
      <w:r>
        <w:t>Por sobredosificación pueden aparecer somnolencia, desorientación y reacciones extrapiramidales que normalmente desaparecen al suspender el tratamiento. De persistir los síntomas se practicará lavado de estómago y se administrará medicación sintomática. Las reacciones extrapiramidales se controlan con la administración de antiparkinsonianos, anticolinérgicos o antihistamínicos con propiedades anticolinérgicas.</w:t>
      </w:r>
    </w:p>
    <w:p w:rsidR="00502A25" w:rsidRDefault="00502A25" w:rsidP="00502A25">
      <w:pPr>
        <w:pStyle w:val="NormalWeb"/>
      </w:pPr>
      <w:r>
        <w:t xml:space="preserve">En caso de sobredosis o ingesta accidental, consultar al Servicio Hospitalario más cercano. En Paraguay, consultar al Servicio de Toxicología del Hospital de EMERGENCIAS MEDICAS Tel.: 220-418 o el 204-800 (int. 011). </w:t>
      </w:r>
    </w:p>
    <w:p w:rsidR="00502A25" w:rsidRDefault="00502A25" w:rsidP="00502A25">
      <w:pPr>
        <w:pStyle w:val="NormalWeb"/>
      </w:pPr>
      <w:r>
        <w:t>PERIODO DE VALIDEZ:</w:t>
      </w:r>
    </w:p>
    <w:p w:rsidR="00502A25" w:rsidRDefault="00502A25" w:rsidP="00502A25">
      <w:pPr>
        <w:pStyle w:val="NormalWeb"/>
      </w:pPr>
      <w:r>
        <w:t>No utilizar en una fecha posterior a la indicada en la caja del producto.</w:t>
      </w:r>
    </w:p>
    <w:p w:rsidR="00502A25" w:rsidRDefault="00502A25" w:rsidP="00502A25">
      <w:pPr>
        <w:pStyle w:val="NormalWeb"/>
      </w:pPr>
      <w:r>
        <w:t>CONSERVACIÓN:</w:t>
      </w:r>
    </w:p>
    <w:p w:rsidR="00502A25" w:rsidRDefault="00502A25" w:rsidP="00502A25">
      <w:pPr>
        <w:pStyle w:val="NormalWeb"/>
      </w:pPr>
      <w:r>
        <w:t>Almacenar a temperatura entre 15 ° y 30 °C.</w:t>
      </w:r>
    </w:p>
    <w:p w:rsidR="00502A25" w:rsidRDefault="00502A25" w:rsidP="00502A25">
      <w:pPr>
        <w:pStyle w:val="NormalWeb"/>
      </w:pPr>
      <w:r>
        <w:t>Conservar en el envase original para protegerlo de la humedad.</w:t>
      </w:r>
    </w:p>
    <w:p w:rsidR="00502A25" w:rsidRDefault="00502A25" w:rsidP="00502A25">
      <w:pPr>
        <w:pStyle w:val="NormalWeb"/>
      </w:pPr>
      <w:r>
        <w:t>PRESENTACIÓN:</w:t>
      </w:r>
    </w:p>
    <w:p w:rsidR="00502A25" w:rsidRDefault="00502A25" w:rsidP="00502A25">
      <w:pPr>
        <w:pStyle w:val="NormalWeb"/>
      </w:pPr>
      <w:r>
        <w:t>Bolivia: Caja conteniendo 20 comprimidos.</w:t>
      </w:r>
    </w:p>
    <w:p w:rsidR="00502A25" w:rsidRDefault="00502A25" w:rsidP="00502A25">
      <w:pPr>
        <w:pStyle w:val="NormalWeb"/>
      </w:pPr>
      <w:r>
        <w:t>Paraguay: Caja conteniendo 20 comprimidos.</w:t>
      </w:r>
    </w:p>
    <w:p w:rsidR="00502A25" w:rsidRDefault="00502A25" w:rsidP="00502A25">
      <w:pPr>
        <w:pStyle w:val="NormalWeb"/>
      </w:pPr>
      <w:r>
        <w:lastRenderedPageBreak/>
        <w:t>Perú: Caja de cartulina triplex conteniendo10, 20, 30, 40, 60 y 100 comprimidos recubiertos en envase blíster de PVC incoloro/Aluminio.</w:t>
      </w:r>
    </w:p>
    <w:p w:rsidR="00502A25" w:rsidRDefault="00502A25" w:rsidP="00502A25">
      <w:pPr>
        <w:pStyle w:val="NormalWeb"/>
      </w:pPr>
      <w:r>
        <w:t xml:space="preserve">Este medicamento debe ser usado únicamente por prescripción médica y no podrá repetirse sin nueva indicación del facultativo. </w:t>
      </w:r>
    </w:p>
    <w:p w:rsidR="00502A25" w:rsidRDefault="00502A25" w:rsidP="00502A25">
      <w:pPr>
        <w:pStyle w:val="NormalWeb"/>
      </w:pPr>
      <w:r>
        <w:t>En caso de uso de este medicamento sin prescripción médica, la ocurrencia de efectos adversos e indeseables será exclusiva responsabilidad de quien lo consuma.</w:t>
      </w:r>
    </w:p>
    <w:p w:rsidR="00502A25" w:rsidRDefault="00502A25" w:rsidP="00502A25">
      <w:pPr>
        <w:pStyle w:val="NormalWeb"/>
      </w:pPr>
      <w:r>
        <w:t>Si Ud. es deportista y está sometido a control de doping, no consuma este producto sin consultar a su médico.</w:t>
      </w:r>
    </w:p>
    <w:p w:rsidR="00502A25" w:rsidRDefault="00502A25" w:rsidP="00502A25">
      <w:pPr>
        <w:pStyle w:val="NormalWeb"/>
      </w:pPr>
      <w:r>
        <w:t>Paraguay: QUIMFA S.A. | D.T.: Q.F. Laura Ramírez Reg. Prof. Nº 4142 | Venta Bajo Receta. Bolivia: Para QUIMFA BOLIVIA S.A. Calle Francisco Gutiérrez Nº 93 Telef.: (591)-3-3333346 Santa Cruz | D. T.: Farm. Lizeth Yucra Peredo - Mat. Prof.: Y-37 | Venta Bajo Receta Médica. Perú: Importado por QUIMFA PERÚ S.A.C. R.U.C..</w:t>
      </w:r>
      <w:proofErr w:type="gramStart"/>
      <w:r>
        <w:t>:</w:t>
      </w:r>
      <w:proofErr w:type="gramEnd"/>
      <w:r>
        <w:t xml:space="preserve"> 20537700379 Calle Martín de Murúa Nº 202 - 2do. Piso Oficina Nº 1 | Lima 32 | D.T.: Q.F. Valeria Peralta de Isasa | Venta con Receta Médica. </w:t>
      </w:r>
    </w:p>
    <w:p w:rsidR="00502A25" w:rsidRDefault="00502A25" w:rsidP="00502A25">
      <w:pPr>
        <w:pStyle w:val="NormalWeb"/>
      </w:pPr>
      <w:r>
        <w:t>MANTENER FUERA DEL ALCANCE DE LOS NIÑOS</w:t>
      </w:r>
    </w:p>
    <w:p w:rsidR="002F236D" w:rsidRPr="009218EF" w:rsidRDefault="002F236D" w:rsidP="009218EF">
      <w:bookmarkStart w:id="0" w:name="_GoBack"/>
      <w:bookmarkEnd w:id="0"/>
    </w:p>
    <w:sectPr w:rsidR="002F236D" w:rsidRPr="009218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156470"/>
    <w:rsid w:val="001F0CA4"/>
    <w:rsid w:val="002B756A"/>
    <w:rsid w:val="002F236D"/>
    <w:rsid w:val="002F5808"/>
    <w:rsid w:val="003F6B1E"/>
    <w:rsid w:val="00424175"/>
    <w:rsid w:val="004B3F2C"/>
    <w:rsid w:val="00502A25"/>
    <w:rsid w:val="0054013F"/>
    <w:rsid w:val="00552EFB"/>
    <w:rsid w:val="005D1962"/>
    <w:rsid w:val="006673B5"/>
    <w:rsid w:val="00681ABF"/>
    <w:rsid w:val="00844C9A"/>
    <w:rsid w:val="00876A05"/>
    <w:rsid w:val="009218EF"/>
    <w:rsid w:val="009B1A8F"/>
    <w:rsid w:val="00A25A47"/>
    <w:rsid w:val="00AF5E2E"/>
    <w:rsid w:val="00B01D7C"/>
    <w:rsid w:val="00B31B9E"/>
    <w:rsid w:val="00B57D9F"/>
    <w:rsid w:val="00BD691D"/>
    <w:rsid w:val="00C435CE"/>
    <w:rsid w:val="00CB37E1"/>
    <w:rsid w:val="00D42B6B"/>
    <w:rsid w:val="00DB0824"/>
    <w:rsid w:val="00E12158"/>
    <w:rsid w:val="00E24A06"/>
    <w:rsid w:val="00EC080D"/>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1813</Words>
  <Characters>9973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2020-12-10T14:16:00Z</dcterms:created>
  <dcterms:modified xsi:type="dcterms:W3CDTF">2020-12-10T14:16:00Z</dcterms:modified>
</cp:coreProperties>
</file>