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A73" w:rsidRDefault="002B5A73" w:rsidP="002B5A73">
      <w:pPr>
        <w:pStyle w:val="NormalWeb"/>
      </w:pPr>
      <w:bookmarkStart w:id="0" w:name="_GoBack"/>
      <w:bookmarkEnd w:id="0"/>
      <w:r>
        <w:t>CITRUMAX®</w:t>
      </w:r>
    </w:p>
    <w:p w:rsidR="002B5A73" w:rsidRDefault="002B5A73" w:rsidP="002B5A73">
      <w:pPr>
        <w:pStyle w:val="NormalWeb"/>
      </w:pPr>
      <w:r>
        <w:t>MALATO DE CITRULINA 1 g</w:t>
      </w:r>
    </w:p>
    <w:p w:rsidR="002B5A73" w:rsidRDefault="002B5A73" w:rsidP="002B5A73">
      <w:pPr>
        <w:pStyle w:val="NormalWeb"/>
      </w:pPr>
      <w:r>
        <w:t>Venta Libre en Farmacias Solución Bebible</w:t>
      </w:r>
    </w:p>
    <w:p w:rsidR="002B5A73" w:rsidRDefault="002B5A73" w:rsidP="002B5A73">
      <w:pPr>
        <w:pStyle w:val="NormalWeb"/>
      </w:pPr>
      <w:r>
        <w:t xml:space="preserve">Industria Paraguaya V.A.: Oral </w:t>
      </w:r>
    </w:p>
    <w:p w:rsidR="002B5A73" w:rsidRDefault="002B5A73" w:rsidP="002B5A73">
      <w:pPr>
        <w:pStyle w:val="NormalWeb"/>
      </w:pPr>
      <w:r>
        <w:t>FORMULA:</w:t>
      </w:r>
    </w:p>
    <w:p w:rsidR="002B5A73" w:rsidRDefault="002B5A73" w:rsidP="002B5A73">
      <w:pPr>
        <w:pStyle w:val="NormalWeb"/>
      </w:pPr>
      <w:r>
        <w:t xml:space="preserve">Cada 10 </w:t>
      </w:r>
      <w:proofErr w:type="spellStart"/>
      <w:r>
        <w:t>mL</w:t>
      </w:r>
      <w:proofErr w:type="spellEnd"/>
      <w:r>
        <w:t xml:space="preserve"> contiene: </w:t>
      </w:r>
    </w:p>
    <w:p w:rsidR="002B5A73" w:rsidRDefault="002B5A73" w:rsidP="002B5A73">
      <w:pPr>
        <w:pStyle w:val="NormalWeb"/>
      </w:pPr>
      <w:r>
        <w:t xml:space="preserve">Malato de Citrulina....................................................................................................1000 mg. </w:t>
      </w:r>
    </w:p>
    <w:p w:rsidR="002B5A73" w:rsidRDefault="002B5A73" w:rsidP="002B5A73">
      <w:pPr>
        <w:pStyle w:val="NormalWeb"/>
      </w:pPr>
      <w:r>
        <w:t>Excipientes.....................................................................................................................c.s.p.</w:t>
      </w:r>
    </w:p>
    <w:p w:rsidR="002B5A73" w:rsidRDefault="002B5A73" w:rsidP="002B5A73">
      <w:pPr>
        <w:pStyle w:val="NormalWeb"/>
      </w:pPr>
      <w:r>
        <w:t>ACCION TERAPEUTICA:</w:t>
      </w:r>
    </w:p>
    <w:p w:rsidR="002B5A73" w:rsidRDefault="002B5A73" w:rsidP="002B5A73">
      <w:pPr>
        <w:pStyle w:val="NormalWeb"/>
      </w:pPr>
      <w:proofErr w:type="spellStart"/>
      <w:r>
        <w:t>Antiasténico</w:t>
      </w:r>
      <w:proofErr w:type="spellEnd"/>
    </w:p>
    <w:p w:rsidR="002B5A73" w:rsidRDefault="002B5A73" w:rsidP="002B5A73">
      <w:pPr>
        <w:pStyle w:val="NormalWeb"/>
      </w:pPr>
      <w:r>
        <w:t>MECANISMO DE ACCION Y DATOS FARMACOCINETICOS:</w:t>
      </w:r>
    </w:p>
    <w:p w:rsidR="002B5A73" w:rsidRDefault="002B5A73" w:rsidP="002B5A73">
      <w:pPr>
        <w:pStyle w:val="NormalWeb"/>
      </w:pPr>
      <w:r>
        <w:t xml:space="preserve">La </w:t>
      </w:r>
      <w:proofErr w:type="spellStart"/>
      <w:r>
        <w:t>Citrulina</w:t>
      </w:r>
      <w:proofErr w:type="spellEnd"/>
      <w:r>
        <w:t xml:space="preserve"> es un aminoácido precursor de la Arginina que podemos encontrar de forma natural en la corteza de la sandía y en otras frutas. Según algunos estudios que compararon este aminoácido con los suplementos de Arginina, la </w:t>
      </w:r>
      <w:proofErr w:type="spellStart"/>
      <w:r>
        <w:t>Citrulina</w:t>
      </w:r>
      <w:proofErr w:type="spellEnd"/>
      <w:r>
        <w:t xml:space="preserve"> se absorbe mejor en el tubo digestivo, por lo que llega mejor al flujo sanguíneo. Además, la Arginina es metabolizada por el hígado, que elimina parte del aminoácido, mientras que la </w:t>
      </w:r>
      <w:proofErr w:type="spellStart"/>
      <w:r>
        <w:t>Citrulina</w:t>
      </w:r>
      <w:proofErr w:type="spellEnd"/>
      <w:r>
        <w:t>, en cambio, es metabolizada por el riñón, donde es convertida en Arginina.</w:t>
      </w:r>
    </w:p>
    <w:p w:rsidR="002B5A73" w:rsidRDefault="002B5A73" w:rsidP="002B5A73">
      <w:pPr>
        <w:pStyle w:val="NormalWeb"/>
      </w:pPr>
      <w:r>
        <w:t xml:space="preserve">Es un aminoácido que está implicado en el ciclo de la urea. Tanto la </w:t>
      </w:r>
      <w:proofErr w:type="spellStart"/>
      <w:r>
        <w:t>Citrulina</w:t>
      </w:r>
      <w:proofErr w:type="spellEnd"/>
      <w:r>
        <w:t xml:space="preserve"> como la </w:t>
      </w:r>
      <w:proofErr w:type="spellStart"/>
      <w:r>
        <w:t>Citrulina</w:t>
      </w:r>
      <w:proofErr w:type="spellEnd"/>
      <w:r>
        <w:t xml:space="preserve"> Malato se usan como complementos de la dieta.</w:t>
      </w:r>
    </w:p>
    <w:p w:rsidR="002B5A73" w:rsidRDefault="002B5A73" w:rsidP="002B5A73">
      <w:pPr>
        <w:pStyle w:val="NormalWeb"/>
      </w:pPr>
      <w:r>
        <w:t xml:space="preserve">Se emplea también como alternativa a la Arginina en el tratamiento de la </w:t>
      </w:r>
      <w:proofErr w:type="spellStart"/>
      <w:r>
        <w:t>hiperamonemia</w:t>
      </w:r>
      <w:proofErr w:type="spellEnd"/>
      <w:r>
        <w:t xml:space="preserve"> debida a desórdenes en el ciclo de la urea, y se usa, además, en el tratamiento de la astenia, (se ha demostrado que el Malato de </w:t>
      </w:r>
      <w:proofErr w:type="spellStart"/>
      <w:r>
        <w:t>Citrulina</w:t>
      </w:r>
      <w:proofErr w:type="spellEnd"/>
      <w:r>
        <w:t xml:space="preserve"> es altamente eficaz para el fortalecimiento de la capacidad de trabajo general y específica, y que ayuda a incrementar la capacidad física y a reducir el cansancio general, ya que reactiva la energía), como períodos de convalecencia (post-infección y post-cirugía), tercera edad, diabetes, sobreesfuerzo deportivo, embarazo, estrés (debido a un intenso ritmo de vida o a una excesiva carga de trabajo) o menopausia. La combinación </w:t>
      </w:r>
      <w:proofErr w:type="spellStart"/>
      <w:r>
        <w:t>equimolecular</w:t>
      </w:r>
      <w:proofErr w:type="spellEnd"/>
      <w:r>
        <w:t xml:space="preserve"> de la </w:t>
      </w:r>
      <w:proofErr w:type="spellStart"/>
      <w:r>
        <w:t>Citrulina</w:t>
      </w:r>
      <w:proofErr w:type="spellEnd"/>
      <w:r>
        <w:t xml:space="preserve"> con el ácido málico dan como resultado un producto </w:t>
      </w:r>
      <w:proofErr w:type="spellStart"/>
      <w:r>
        <w:t>antiasténico</w:t>
      </w:r>
      <w:proofErr w:type="spellEnd"/>
      <w:r>
        <w:t xml:space="preserve"> con una triple acción: Defatigante (ácido málico), desintoxicante muscular y desintoxicante hepático (</w:t>
      </w:r>
      <w:proofErr w:type="spellStart"/>
      <w:r>
        <w:t>Citrulina</w:t>
      </w:r>
      <w:proofErr w:type="spellEnd"/>
      <w:r>
        <w:t>).</w:t>
      </w:r>
    </w:p>
    <w:p w:rsidR="002B5A73" w:rsidRDefault="002B5A73" w:rsidP="002B5A73">
      <w:pPr>
        <w:pStyle w:val="NormalWeb"/>
      </w:pPr>
      <w:r>
        <w:t xml:space="preserve">Según recientes investigaciones, parece ser que la </w:t>
      </w:r>
      <w:proofErr w:type="spellStart"/>
      <w:r>
        <w:t>Citrulina</w:t>
      </w:r>
      <w:proofErr w:type="spellEnd"/>
      <w:r>
        <w:t xml:space="preserve"> podría tener efectos estimulantes y vigorizantes de la función eréctil. La </w:t>
      </w:r>
      <w:proofErr w:type="spellStart"/>
      <w:r>
        <w:t>Citrulina</w:t>
      </w:r>
      <w:proofErr w:type="spellEnd"/>
      <w:r>
        <w:t xml:space="preserve"> se absorbe muy fácilmente en el flujo sanguíneo y podría potenciar la producción de óxido nitroso, factor clave en </w:t>
      </w:r>
      <w:r>
        <w:lastRenderedPageBreak/>
        <w:t>la función sexual masculina. Podría ser, pues, una solución a problemas de impotencia y de disfunción eréctil, y un soporte de la actividad sexual.</w:t>
      </w:r>
    </w:p>
    <w:p w:rsidR="002B5A73" w:rsidRDefault="002B5A73" w:rsidP="002B5A73">
      <w:pPr>
        <w:pStyle w:val="NormalWeb"/>
      </w:pPr>
      <w:r>
        <w:t xml:space="preserve">Se forma por transferencia del grupo </w:t>
      </w:r>
      <w:proofErr w:type="spellStart"/>
      <w:r>
        <w:t>carbamoilo</w:t>
      </w:r>
      <w:proofErr w:type="spellEnd"/>
      <w:r>
        <w:t xml:space="preserve"> proveniente del anhídrido del ácido fosfórico al grupo d-amino de la </w:t>
      </w:r>
      <w:proofErr w:type="spellStart"/>
      <w:r>
        <w:t>Ornitina</w:t>
      </w:r>
      <w:proofErr w:type="spellEnd"/>
      <w:r>
        <w:t xml:space="preserve">. La enzima </w:t>
      </w:r>
      <w:proofErr w:type="spellStart"/>
      <w:r>
        <w:t>Ornitina</w:t>
      </w:r>
      <w:proofErr w:type="spellEnd"/>
      <w:r>
        <w:t xml:space="preserve"> </w:t>
      </w:r>
      <w:proofErr w:type="spellStart"/>
      <w:r>
        <w:t>transcarbamoilasa</w:t>
      </w:r>
      <w:proofErr w:type="spellEnd"/>
      <w:r>
        <w:t xml:space="preserve"> es también mitocondrial. La </w:t>
      </w:r>
      <w:proofErr w:type="spellStart"/>
      <w:r>
        <w:t>Citrulina</w:t>
      </w:r>
      <w:proofErr w:type="spellEnd"/>
      <w:r>
        <w:t xml:space="preserve"> difunde desde la mitocondria al </w:t>
      </w:r>
      <w:proofErr w:type="spellStart"/>
      <w:r>
        <w:t>citosol</w:t>
      </w:r>
      <w:proofErr w:type="spellEnd"/>
      <w:r>
        <w:t>, donde continúa el resto del ciclo de la urea.</w:t>
      </w:r>
    </w:p>
    <w:p w:rsidR="002B5A73" w:rsidRDefault="002B5A73" w:rsidP="002B5A73">
      <w:pPr>
        <w:pStyle w:val="NormalWeb"/>
      </w:pPr>
      <w:r>
        <w:t>INDICACIONES TERAPEUTICAS:</w:t>
      </w:r>
    </w:p>
    <w:p w:rsidR="002B5A73" w:rsidRDefault="002B5A73" w:rsidP="002B5A73">
      <w:pPr>
        <w:pStyle w:val="NormalWeb"/>
      </w:pPr>
      <w:r>
        <w:t>Tratamiento sintomático de la astenia física.</w:t>
      </w:r>
    </w:p>
    <w:p w:rsidR="002B5A73" w:rsidRDefault="002B5A73" w:rsidP="002B5A73">
      <w:pPr>
        <w:pStyle w:val="NormalWeb"/>
      </w:pPr>
      <w:r>
        <w:t>POSOLOGIA:</w:t>
      </w:r>
    </w:p>
    <w:p w:rsidR="002B5A73" w:rsidRDefault="002B5A73" w:rsidP="002B5A73">
      <w:pPr>
        <w:pStyle w:val="NormalWeb"/>
      </w:pPr>
      <w:r>
        <w:t>Solución Oral.</w:t>
      </w:r>
    </w:p>
    <w:p w:rsidR="002B5A73" w:rsidRDefault="002B5A73" w:rsidP="002B5A73">
      <w:pPr>
        <w:pStyle w:val="NormalWeb"/>
      </w:pPr>
      <w:r>
        <w:t>Vía de Administración: Oral.</w:t>
      </w:r>
    </w:p>
    <w:p w:rsidR="002B5A73" w:rsidRDefault="002B5A73" w:rsidP="002B5A73">
      <w:pPr>
        <w:pStyle w:val="NormalWeb"/>
      </w:pPr>
      <w:r>
        <w:t>Reservado para el adulto y el niño de más de 6 años.</w:t>
      </w:r>
    </w:p>
    <w:p w:rsidR="002B5A73" w:rsidRDefault="002B5A73" w:rsidP="002B5A73">
      <w:pPr>
        <w:pStyle w:val="NormalWeb"/>
      </w:pPr>
      <w:r>
        <w:t>Adulto: 1 a 3 frascos ampollas por día, distribuir durante el día.</w:t>
      </w:r>
    </w:p>
    <w:p w:rsidR="002B5A73" w:rsidRDefault="002B5A73" w:rsidP="002B5A73">
      <w:pPr>
        <w:pStyle w:val="NormalWeb"/>
      </w:pPr>
      <w:r>
        <w:t>Niño de más de 6 años: 1 a 2 frascos ampollas por día, distribuir durante el día.</w:t>
      </w:r>
    </w:p>
    <w:p w:rsidR="002B5A73" w:rsidRDefault="002B5A73" w:rsidP="002B5A73">
      <w:pPr>
        <w:pStyle w:val="NormalWeb"/>
      </w:pPr>
      <w:r>
        <w:t>Diluir el contenido de los frascos ampollas en un vaso de agua.</w:t>
      </w:r>
    </w:p>
    <w:p w:rsidR="002B5A73" w:rsidRDefault="002B5A73" w:rsidP="002B5A73">
      <w:pPr>
        <w:pStyle w:val="NormalWeb"/>
      </w:pPr>
      <w:r>
        <w:t xml:space="preserve">Duración del tratamiento limitada a 4 semanas. </w:t>
      </w:r>
    </w:p>
    <w:p w:rsidR="002B5A73" w:rsidRDefault="002B5A73" w:rsidP="002B5A73">
      <w:pPr>
        <w:pStyle w:val="NormalWeb"/>
      </w:pPr>
      <w:r>
        <w:t>CONTRAINDICACIONES:</w:t>
      </w:r>
    </w:p>
    <w:p w:rsidR="002B5A73" w:rsidRDefault="002B5A73" w:rsidP="002B5A73">
      <w:pPr>
        <w:pStyle w:val="NormalWeb"/>
      </w:pPr>
      <w:r>
        <w:t>Hipersensibilidad al principio activo.</w:t>
      </w:r>
    </w:p>
    <w:p w:rsidR="002B5A73" w:rsidRDefault="002B5A73" w:rsidP="002B5A73">
      <w:pPr>
        <w:pStyle w:val="NormalWeb"/>
      </w:pPr>
      <w:r>
        <w:t>PRECAUCIONES Y ADVERTENCIAS:</w:t>
      </w:r>
    </w:p>
    <w:p w:rsidR="002B5A73" w:rsidRDefault="002B5A73" w:rsidP="002B5A73">
      <w:pPr>
        <w:pStyle w:val="NormalWeb"/>
      </w:pPr>
      <w:r>
        <w:t>Reservado con el adulto y el niño de más de 6 años.</w:t>
      </w:r>
    </w:p>
    <w:p w:rsidR="002B5A73" w:rsidRDefault="002B5A73" w:rsidP="002B5A73">
      <w:pPr>
        <w:pStyle w:val="NormalWeb"/>
      </w:pPr>
      <w:r>
        <w:t>Debido al pH ácido, la solución se debe diluir siempre en un vaso de agua.</w:t>
      </w:r>
    </w:p>
    <w:p w:rsidR="002B5A73" w:rsidRDefault="002B5A73" w:rsidP="002B5A73">
      <w:pPr>
        <w:pStyle w:val="NormalWeb"/>
      </w:pPr>
      <w:r>
        <w:t xml:space="preserve">El uso del tratamiento con </w:t>
      </w:r>
      <w:proofErr w:type="spellStart"/>
      <w:r>
        <w:t>Citrulina</w:t>
      </w:r>
      <w:proofErr w:type="spellEnd"/>
      <w:r>
        <w:t xml:space="preserve"> para reducir la </w:t>
      </w:r>
      <w:proofErr w:type="spellStart"/>
      <w:r>
        <w:t>hiperamonemia</w:t>
      </w:r>
      <w:proofErr w:type="spellEnd"/>
      <w:r>
        <w:t xml:space="preserve"> debe ser acompañado por medidas de orden dietético, que incluyen una limitación de la toma de alimentos generadores de </w:t>
      </w:r>
      <w:proofErr w:type="spellStart"/>
      <w:r>
        <w:t>hiperamonemia</w:t>
      </w:r>
      <w:proofErr w:type="spellEnd"/>
      <w:r>
        <w:t xml:space="preserve"> (sobre todo proteínas), y un aporte de elementos minerales cuando su carencia hubiera sido constatada, como frecuentemente ocurre con el magnesio. Evitar el contacto con la piel y los ojos. Precaución especial en pacientes con restricción estricta de ingesta de sodio.</w:t>
      </w:r>
    </w:p>
    <w:p w:rsidR="002B5A73" w:rsidRDefault="002B5A73" w:rsidP="002B5A73">
      <w:pPr>
        <w:pStyle w:val="NormalWeb"/>
      </w:pPr>
      <w:r>
        <w:t>REACCIONES ADVERSAS Y EFECTOS COLATERALES:</w:t>
      </w:r>
    </w:p>
    <w:p w:rsidR="002B5A73" w:rsidRDefault="002B5A73" w:rsidP="002B5A73">
      <w:pPr>
        <w:pStyle w:val="NormalWeb"/>
      </w:pPr>
      <w:r>
        <w:t>Raramente: Gastralgias ligeras al principio del tratamiento.</w:t>
      </w:r>
    </w:p>
    <w:p w:rsidR="002B5A73" w:rsidRDefault="002B5A73" w:rsidP="002B5A73">
      <w:pPr>
        <w:pStyle w:val="NormalWeb"/>
      </w:pPr>
      <w:r>
        <w:t>INTERACCIONES CON ALIMENTOS Y MEDICAMENTOS:</w:t>
      </w:r>
    </w:p>
    <w:p w:rsidR="002B5A73" w:rsidRDefault="002B5A73" w:rsidP="002B5A73">
      <w:pPr>
        <w:pStyle w:val="NormalWeb"/>
      </w:pPr>
      <w:r>
        <w:lastRenderedPageBreak/>
        <w:t>No se han descripto interacciones medicamentosas ni advertencias.</w:t>
      </w:r>
    </w:p>
    <w:p w:rsidR="002B5A73" w:rsidRDefault="002B5A73" w:rsidP="002B5A73">
      <w:pPr>
        <w:pStyle w:val="NormalWeb"/>
      </w:pPr>
      <w:r>
        <w:t>SOBREDOSIFICACION:</w:t>
      </w:r>
    </w:p>
    <w:p w:rsidR="002B5A73" w:rsidRDefault="002B5A73" w:rsidP="002B5A73">
      <w:pPr>
        <w:pStyle w:val="NormalWeb"/>
      </w:pPr>
      <w:r>
        <w:t>En el caso de sobredosificación, discontinuar el tratamiento e instaurar medidas de apoyo. En caso de sobredosis o ingesta accidental, consultar al Servicio de Toxicología del Hospital de EMERGENCIAS MEDICAS Tel.: 220-418 o el 204-800 (</w:t>
      </w:r>
      <w:proofErr w:type="spellStart"/>
      <w:r>
        <w:t>int</w:t>
      </w:r>
      <w:proofErr w:type="spellEnd"/>
      <w:r>
        <w:t>. 011).</w:t>
      </w:r>
    </w:p>
    <w:p w:rsidR="002B5A73" w:rsidRDefault="002B5A73" w:rsidP="002B5A73">
      <w:pPr>
        <w:pStyle w:val="NormalWeb"/>
      </w:pPr>
      <w:r>
        <w:t>RESTRICCIONES DE USO:</w:t>
      </w:r>
    </w:p>
    <w:p w:rsidR="002B5A73" w:rsidRDefault="002B5A73" w:rsidP="002B5A73">
      <w:pPr>
        <w:pStyle w:val="NormalWeb"/>
      </w:pPr>
      <w:r>
        <w:t xml:space="preserve">Embarazo: No hay datos de teratogénesis en animales. En seres humanos, ninguna malformación o efecto </w:t>
      </w:r>
      <w:proofErr w:type="spellStart"/>
      <w:r>
        <w:t>fototóxico</w:t>
      </w:r>
      <w:proofErr w:type="spellEnd"/>
      <w:r>
        <w:t xml:space="preserve"> han aparecido hasta la fecha. Sin embargo, la experiencia de su uso en embarazos expuestos a esta droga es escasa para poder excluir cualquier riesgo. Por lo tanto, por la medida de la precaución, es preferible no utilizar esta droga durante el embarazo.</w:t>
      </w:r>
    </w:p>
    <w:p w:rsidR="002B5A73" w:rsidRDefault="002B5A73" w:rsidP="002B5A73">
      <w:pPr>
        <w:pStyle w:val="NormalWeb"/>
      </w:pPr>
      <w:r>
        <w:t>Amamantamiento: Debido a la ausencia de los datos del paso de esta droga en la leche de la madre, el uso de éste debe ser evitado durante el amamantamiento.</w:t>
      </w:r>
    </w:p>
    <w:p w:rsidR="002B5A73" w:rsidRDefault="002B5A73" w:rsidP="002B5A73">
      <w:pPr>
        <w:pStyle w:val="NormalWeb"/>
      </w:pPr>
      <w:r>
        <w:t>CONSERVACION:</w:t>
      </w:r>
    </w:p>
    <w:p w:rsidR="002B5A73" w:rsidRDefault="002B5A73" w:rsidP="002B5A73">
      <w:pPr>
        <w:pStyle w:val="NormalWeb"/>
      </w:pPr>
      <w:r>
        <w:t>Almacenar a temperatura entre 15° y 30 °C.</w:t>
      </w:r>
    </w:p>
    <w:p w:rsidR="002B5A73" w:rsidRDefault="002B5A73" w:rsidP="002B5A73">
      <w:pPr>
        <w:pStyle w:val="NormalWeb"/>
      </w:pPr>
      <w:r>
        <w:t>PRESENTACIONES:</w:t>
      </w:r>
    </w:p>
    <w:p w:rsidR="002B5A73" w:rsidRDefault="002B5A73" w:rsidP="002B5A73">
      <w:pPr>
        <w:pStyle w:val="NormalWeb"/>
      </w:pPr>
      <w:r>
        <w:t>Caja conteniendo 1/5/10/20/50 frascos ampollas bebibles.</w:t>
      </w:r>
    </w:p>
    <w:p w:rsidR="002B5A73" w:rsidRDefault="002B5A73" w:rsidP="002B5A73">
      <w:pPr>
        <w:pStyle w:val="NormalWeb"/>
      </w:pPr>
      <w:r>
        <w:t>Este medicamento debe ser utilizado únicamente por prescripción médica y no podrá repetirse sin nueva indicación del facultativo.</w:t>
      </w:r>
    </w:p>
    <w:p w:rsidR="002B5A73" w:rsidRDefault="002B5A73" w:rsidP="002B5A73">
      <w:pPr>
        <w:pStyle w:val="NormalWeb"/>
      </w:pPr>
      <w:r>
        <w:t>En caso de uso de este medicamento sin prescripción médica, la ocurrencia de efectos adversos e indeseables serán de exclusiva responsabilidad de quién lo consuma.</w:t>
      </w:r>
    </w:p>
    <w:p w:rsidR="002B5A73" w:rsidRDefault="002B5A73" w:rsidP="002B5A73">
      <w:pPr>
        <w:pStyle w:val="NormalWeb"/>
      </w:pPr>
      <w:r>
        <w:t>Si Ud. es deportista y está sometido a control de doping, no consuma este producto sin consultar a su médico.</w:t>
      </w:r>
    </w:p>
    <w:p w:rsidR="002B5A73" w:rsidRDefault="002B5A73" w:rsidP="002B5A73">
      <w:pPr>
        <w:pStyle w:val="NormalWeb"/>
      </w:pPr>
      <w:r>
        <w:t xml:space="preserve">Director Técnico: Q.F. Laura Ramírez </w:t>
      </w:r>
    </w:p>
    <w:p w:rsidR="002B5A73" w:rsidRDefault="002B5A73" w:rsidP="002B5A73">
      <w:pPr>
        <w:pStyle w:val="NormalWeb"/>
      </w:pPr>
      <w:r>
        <w:t>Reg. Prof. Nº 4.142</w:t>
      </w:r>
    </w:p>
    <w:p w:rsidR="002B5A73" w:rsidRDefault="002B5A73" w:rsidP="002B5A73">
      <w:pPr>
        <w:pStyle w:val="NormalWeb"/>
      </w:pPr>
      <w:r>
        <w:t>Autorizado por D.N.V.S. del M.S.P. y B.S.</w:t>
      </w:r>
    </w:p>
    <w:p w:rsidR="002B5A73" w:rsidRDefault="002B5A73" w:rsidP="002B5A73">
      <w:pPr>
        <w:pStyle w:val="NormalWeb"/>
      </w:pPr>
      <w:r>
        <w:t>MANTENER FUERA DEL ALCANCE DE LOS NIÑOS</w:t>
      </w:r>
    </w:p>
    <w:p w:rsidR="001B5FC3" w:rsidRPr="00004F53" w:rsidRDefault="001B5FC3" w:rsidP="002B5A73">
      <w:pPr>
        <w:pStyle w:val="NormalWeb"/>
      </w:pPr>
    </w:p>
    <w:sectPr w:rsidR="001B5FC3" w:rsidRPr="00004F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751"/>
    <w:rsid w:val="000014E8"/>
    <w:rsid w:val="00004F53"/>
    <w:rsid w:val="000911CE"/>
    <w:rsid w:val="001B5FC3"/>
    <w:rsid w:val="002B5A73"/>
    <w:rsid w:val="002E17E0"/>
    <w:rsid w:val="00624A7A"/>
    <w:rsid w:val="007A1967"/>
    <w:rsid w:val="008420F8"/>
    <w:rsid w:val="00B00FE0"/>
    <w:rsid w:val="00B64B54"/>
    <w:rsid w:val="00B765A5"/>
    <w:rsid w:val="00C06751"/>
    <w:rsid w:val="00CC7444"/>
    <w:rsid w:val="00DB024C"/>
    <w:rsid w:val="00EC18BB"/>
    <w:rsid w:val="00EC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BB3C74-973D-4EA3-B7EC-32FA1CCC0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06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849</Words>
  <Characters>4675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2020-12-10T19:54:00Z</dcterms:created>
  <dcterms:modified xsi:type="dcterms:W3CDTF">2020-12-10T19:54:00Z</dcterms:modified>
</cp:coreProperties>
</file>