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B33E1" w14:textId="77777777" w:rsidR="00540187" w:rsidRDefault="00540187" w:rsidP="00540187">
      <w:r>
        <w:t>CLOZAPIN</w:t>
      </w:r>
    </w:p>
    <w:p w14:paraId="13B1E79A" w14:textId="6B24B776" w:rsidR="00540187" w:rsidRDefault="00540187" w:rsidP="00540187">
      <w:r>
        <w:t>CLOZAPINA 100 mg</w:t>
      </w:r>
    </w:p>
    <w:p w14:paraId="5D823B7B" w14:textId="77777777" w:rsidR="00540187" w:rsidRDefault="00540187" w:rsidP="00540187">
      <w:r>
        <w:t>Venta Bajo Receta Cuadruplicada                                                   Comprimido Recubierto</w:t>
      </w:r>
    </w:p>
    <w:p w14:paraId="7A9F0F04" w14:textId="3211296D" w:rsidR="00540187" w:rsidRDefault="00540187" w:rsidP="00540187">
      <w:r>
        <w:t>Industria Paraguaya                                                                                                  V.A.:Oral</w:t>
      </w:r>
    </w:p>
    <w:p w14:paraId="576F18DB" w14:textId="5C1976BA" w:rsidR="00540187" w:rsidRDefault="00540187" w:rsidP="00540187"/>
    <w:p w14:paraId="6EA5FC1A" w14:textId="77777777" w:rsidR="00540187" w:rsidRDefault="00540187" w:rsidP="00540187">
      <w:r>
        <w:t>Fórmula:</w:t>
      </w:r>
    </w:p>
    <w:p w14:paraId="70C55A6B" w14:textId="77777777" w:rsidR="00540187" w:rsidRDefault="00540187" w:rsidP="00540187">
      <w:r>
        <w:t>Cada comprimido recubierto contiene:</w:t>
      </w:r>
    </w:p>
    <w:p w14:paraId="5E2AA724" w14:textId="77777777" w:rsidR="00540187" w:rsidRDefault="00540187" w:rsidP="00540187">
      <w:r>
        <w:t>Clozapina .................................................................................................................. 100 mg.</w:t>
      </w:r>
    </w:p>
    <w:p w14:paraId="57ECB05C" w14:textId="255AFC0D" w:rsidR="00540187" w:rsidRDefault="00540187" w:rsidP="00540187">
      <w:r>
        <w:t>Excipientes ................................................................................................................... c.s.p.</w:t>
      </w:r>
    </w:p>
    <w:p w14:paraId="71D09D83" w14:textId="77777777" w:rsidR="00540187" w:rsidRDefault="00540187" w:rsidP="00540187"/>
    <w:p w14:paraId="4D810EE1" w14:textId="77777777" w:rsidR="00540187" w:rsidRDefault="00540187" w:rsidP="00540187"/>
    <w:p w14:paraId="535DB4C0" w14:textId="6B378F4B" w:rsidR="00540187" w:rsidRDefault="00540187" w:rsidP="00540187">
      <w:r>
        <w:t>ACCIÓN TERAPÉUTICA:</w:t>
      </w:r>
    </w:p>
    <w:p w14:paraId="4CEBFB59" w14:textId="77777777" w:rsidR="00540187" w:rsidRDefault="00540187" w:rsidP="00540187">
      <w:r>
        <w:t>Farmaco antipsicotico diferente de los antipsicoticos clásicos</w:t>
      </w:r>
    </w:p>
    <w:p w14:paraId="14166338" w14:textId="77777777" w:rsidR="00540187" w:rsidRDefault="00540187" w:rsidP="00540187"/>
    <w:p w14:paraId="39E925AC" w14:textId="77777777" w:rsidR="00540187" w:rsidRDefault="00540187" w:rsidP="00540187">
      <w:r>
        <w:t>MECANISMO DE ACCIÓN Y DATOS FARMACOCINÉTICOS:</w:t>
      </w:r>
    </w:p>
    <w:p w14:paraId="40571884" w14:textId="77777777" w:rsidR="00540187" w:rsidRDefault="00540187" w:rsidP="00540187">
      <w:r>
        <w:t>Propiedades farmacodinámicas</w:t>
      </w:r>
    </w:p>
    <w:p w14:paraId="68546268" w14:textId="77777777" w:rsidR="00540187" w:rsidRDefault="00540187" w:rsidP="00540187">
      <w:r>
        <w:t>Grupo farmacoterapéutico: Antipsicóticos; Diazepinas, oxazepinas y tiazepinas, código ATC: N05A H02.</w:t>
      </w:r>
    </w:p>
    <w:p w14:paraId="0850238D" w14:textId="77777777" w:rsidR="00540187" w:rsidRDefault="00540187" w:rsidP="00540187">
      <w:r>
        <w:t>Mecanismo de acción</w:t>
      </w:r>
    </w:p>
    <w:p w14:paraId="05707DB1" w14:textId="77777777" w:rsidR="00540187" w:rsidRDefault="00540187" w:rsidP="00540187">
      <w:r>
        <w:t>La Clozapina ha demostrado ser un fármaco antipsicótico diferente de los antipsicóticos clásicos.</w:t>
      </w:r>
    </w:p>
    <w:p w14:paraId="47929BE2" w14:textId="77777777" w:rsidR="00540187" w:rsidRDefault="00540187" w:rsidP="00540187">
      <w:r>
        <w:t>En estudios farmacológicos, no induce catalepsia ni inhibe el comportamiento estereotipado inducido por anfetamina o apomorfina. Posee una acción bloqueante débil sobre los receptores dopaminérgicos (D1, D2, D3 y D5), pero muestra potentes efectos sobre el receptor D4.</w:t>
      </w:r>
    </w:p>
    <w:p w14:paraId="5E7309DC" w14:textId="77777777" w:rsidR="00540187" w:rsidRDefault="00540187" w:rsidP="00540187">
      <w:r>
        <w:t>Efectos farmacodinámicos</w:t>
      </w:r>
    </w:p>
    <w:p w14:paraId="7E4E382D" w14:textId="77777777" w:rsidR="00540187" w:rsidRDefault="00540187" w:rsidP="00540187">
      <w:r>
        <w:t>La Clozapina tiene un potente efecto anti-αadrenérgico, anticolinérgico, antihistamínico y de disminución del nivel de vigilia (“arousal”). También ha demostrado poseer propiedades antiserotoninérgicas.</w:t>
      </w:r>
    </w:p>
    <w:p w14:paraId="19CE0ED6" w14:textId="77777777" w:rsidR="00540187" w:rsidRDefault="00540187" w:rsidP="00540187">
      <w:r>
        <w:t xml:space="preserve">Eficacia clínica y seguridad </w:t>
      </w:r>
    </w:p>
    <w:p w14:paraId="111BDE38" w14:textId="77777777" w:rsidR="00540187" w:rsidRDefault="00540187" w:rsidP="00540187">
      <w:r>
        <w:t xml:space="preserve">Clozapin produce una rápida y notable sedación y posee un potente efecto antipsicótico en pacientes esquizofrénicos resistentes a otros tratamientos. Clozapin  ha mostrado ser efectivo mejorando tanto los síntomas positivos como negativos de la esquizofrenia principalmente a corto plazo. La mejoría se definió como aprox. un 20% de reducción desde el nivel basal en la Brief Psychiatric Rating Scale Score. Además, se han descrito mejorías en algunos aspectos de la disfunción cognitiva. </w:t>
      </w:r>
    </w:p>
    <w:p w14:paraId="7528BFD7" w14:textId="77777777" w:rsidR="00540187" w:rsidRDefault="00540187" w:rsidP="00540187">
      <w:r>
        <w:t xml:space="preserve">Comparado con los antipsicóticos clásicos, Clozapin produce menos reacciones extrapiramidales mayores, tales como distonía aguda, efectos adversos de tipo parkinsoniano y acatisia. En contraste con los antipsicóticos clásicos, Clozapin no produce aumento de los niveles de prolactina o los aumenta mínimamente evitando así efectos adversos tales como ginecomastia, amenorrea, galactorrea e impotencia. </w:t>
      </w:r>
    </w:p>
    <w:p w14:paraId="37548F78" w14:textId="77777777" w:rsidR="00540187" w:rsidRDefault="00540187" w:rsidP="00540187">
      <w:r>
        <w:t xml:space="preserve">Una reacción adversa potencialmente grave del tratamiento con Clozapin es la granulocitopenia y agranulocitosis con una incidencia estimada del 3% y 0,7% respectivamente. Teniendo en cuenta este riesgo, el uso de Clozapin debe limitarse a pacientes resistentes al tratamiento o pacientes con psicosis en el curso de la enfermedad de </w:t>
      </w:r>
      <w:r>
        <w:lastRenderedPageBreak/>
        <w:t>Parkinson cuando hayan fallado otras terapias (ver Indicaciones Terapéuticas) y a los cuales se les pueda realizar exámenes hematológicos regulares (ver Precauciones y Advertencias y/o Reacciones Adversas y Efectos Colaterales).</w:t>
      </w:r>
    </w:p>
    <w:p w14:paraId="4210CBE1" w14:textId="77777777" w:rsidR="00540187" w:rsidRDefault="00540187" w:rsidP="00540187">
      <w:r>
        <w:t>Propiedades farmacocinéticas</w:t>
      </w:r>
    </w:p>
    <w:p w14:paraId="196A560D" w14:textId="77777777" w:rsidR="00540187" w:rsidRDefault="00540187" w:rsidP="00540187">
      <w:r>
        <w:t>Absorción</w:t>
      </w:r>
    </w:p>
    <w:p w14:paraId="1F73E600" w14:textId="77777777" w:rsidR="00540187" w:rsidRDefault="00540187" w:rsidP="00540187">
      <w:r>
        <w:t>La absorción de Clozapin administrado por vía oral es del 90-95%; los alimentos no influyen en la velocidad ni en el grado de absorción. Está sometido a un metabolismo de primer paso moderado, lo que se traduce en una biodisponibilidad absoluta del 50-60%.</w:t>
      </w:r>
    </w:p>
    <w:p w14:paraId="3C4B4719" w14:textId="77777777" w:rsidR="00540187" w:rsidRDefault="00540187" w:rsidP="00540187">
      <w:r>
        <w:t>Distribución</w:t>
      </w:r>
    </w:p>
    <w:p w14:paraId="2EF34D4B" w14:textId="77777777" w:rsidR="00540187" w:rsidRDefault="00540187" w:rsidP="00540187">
      <w:r>
        <w:t>En estado estacionario, cuando se administra dos veces al día, los niveles plasmáticos máximos se alcanzan en término medio a las 2,1 horas (intervalo 0,4 a 4,2 horas) y el volumen de  distribución es de 1,6 L/kg. Clozapin se une a proteínas plasmáticas en un 95%.</w:t>
      </w:r>
    </w:p>
    <w:p w14:paraId="46E90D76" w14:textId="77777777" w:rsidR="00540187" w:rsidRDefault="00540187" w:rsidP="00540187">
      <w:r>
        <w:t>Metabolismo o Biotransformación</w:t>
      </w:r>
    </w:p>
    <w:p w14:paraId="75B65230" w14:textId="77777777" w:rsidR="00540187" w:rsidRDefault="00540187" w:rsidP="00540187">
      <w:r>
        <w:t xml:space="preserve">Clozapin se metaboliza de forma prácticamente completa antes de su excreción mediante el CYP1A2 y CYP3A4, y en cierta medida mediante el CYP2C19 y CYP2D6. De los metabolitos principales, solamente el metabolito desmetilo es activo. </w:t>
      </w:r>
    </w:p>
    <w:p w14:paraId="6E7BF1F9" w14:textId="77777777" w:rsidR="00540187" w:rsidRDefault="00540187" w:rsidP="00540187">
      <w:r>
        <w:t>Eliminación</w:t>
      </w:r>
    </w:p>
    <w:p w14:paraId="23FEC516" w14:textId="77777777" w:rsidR="00540187" w:rsidRDefault="00540187" w:rsidP="00540187">
      <w:r>
        <w:t>Su eliminación es bifásica con una semivida de eliminación terminal media de 12 horas (intervalo 6-26 horas). Después de dosis únicas de 75 mg la semivida de eliminación terminal media fue de 7,9 horas, aumentando hasta 14,2 horas cuando se alcanzan condiciones de estado estacionario por administración de dosis diarias de 75 mg durante como mínimo 7 días. Solamente se detectan trazas de fármaco inalterado en orina y heces, excretándose aproximadamente el 50% de la dosis administrada en orina y el 30% en heces.</w:t>
      </w:r>
    </w:p>
    <w:p w14:paraId="7FDB988E" w14:textId="77777777" w:rsidR="00540187" w:rsidRDefault="00540187" w:rsidP="00540187">
      <w:r>
        <w:t>Linealidad/ No linealidad</w:t>
      </w:r>
    </w:p>
    <w:p w14:paraId="26788F4D" w14:textId="77777777" w:rsidR="00540187" w:rsidRDefault="00540187" w:rsidP="00540187">
      <w:r>
        <w:t>En el estado estacionario, aumentos de dosis de 37,5 hasta 75 y 150 mg administrados dos veces al día resultaron en aumentos lineales proporcionales a la dosis en el área bajo la curva de concentración plasmática/tiempo (AUC) y en las concentraciones plasmáticas mínimas y máximas</w:t>
      </w:r>
    </w:p>
    <w:p w14:paraId="7A1E3F6E" w14:textId="77777777" w:rsidR="00540187" w:rsidRDefault="00540187" w:rsidP="00540187">
      <w:r>
        <w:t>Datos preclínicos sobre seguridad</w:t>
      </w:r>
    </w:p>
    <w:p w14:paraId="75746395" w14:textId="77777777" w:rsidR="00540187" w:rsidRDefault="00540187" w:rsidP="00540187">
      <w:r>
        <w:t>Los datos preclínicos no muestran riesgos especiales para los seres humanos según los estudios convencionales sobre farmacología de seguridad, toxicidad de dosis repetidas, genotoxicidad y potencial carcinogénico (para toxicidad reproductiva ver Restricciones de Uso).</w:t>
      </w:r>
    </w:p>
    <w:p w14:paraId="0D1D3874" w14:textId="77777777" w:rsidR="00540187" w:rsidRDefault="00540187" w:rsidP="00540187"/>
    <w:p w14:paraId="350B6E37" w14:textId="77777777" w:rsidR="00540187" w:rsidRDefault="00540187" w:rsidP="00540187">
      <w:r>
        <w:t>INDICACIONES TERAPÉUTICAS:</w:t>
      </w:r>
    </w:p>
    <w:p w14:paraId="1290170A" w14:textId="77777777" w:rsidR="00540187" w:rsidRDefault="00540187" w:rsidP="00540187">
      <w:r>
        <w:t>Tratamiento de la esquizofrenia resistente:</w:t>
      </w:r>
    </w:p>
    <w:p w14:paraId="3CD0930E" w14:textId="77777777" w:rsidR="00540187" w:rsidRDefault="00540187" w:rsidP="00540187">
      <w:r>
        <w:t xml:space="preserve">Clozapin está indicado en pacientes esquizofrénicos resistentes a tratamiento y en pacientes esquizofrénicos que presenten reacciones adversas neurológicas graves y no tratables con otros fármacos antipsicóticos, incluyendo un antipsicótico atípico. </w:t>
      </w:r>
    </w:p>
    <w:p w14:paraId="28A6514F" w14:textId="77777777" w:rsidR="00540187" w:rsidRDefault="00540187" w:rsidP="00540187">
      <w:r>
        <w:t xml:space="preserve">La resistencia al tratamiento se define como la ausencia de mejoría clínica satisfactoria a pesar de haber utilizado como mínimo dos tratamientos diferentes con antipsicóticos, incluyendo un antipsicótico atípico, a las dosis adecuadas y durante el tiempo adecuado. </w:t>
      </w:r>
    </w:p>
    <w:p w14:paraId="0F8A19A5" w14:textId="77777777" w:rsidR="00540187" w:rsidRDefault="00540187" w:rsidP="00540187">
      <w:r>
        <w:t xml:space="preserve">Tratamiento en el curso de la enfermedad de Parkinson: </w:t>
      </w:r>
    </w:p>
    <w:p w14:paraId="40068F88" w14:textId="77777777" w:rsidR="00540187" w:rsidRDefault="00540187" w:rsidP="00540187">
      <w:r>
        <w:t xml:space="preserve">Clozapin está también indicado en trastornos psicóticos que aparecen en el curso de la enfermedad de Parkinson, en los casos en los que haya fallado el tratamiento estándar. </w:t>
      </w:r>
    </w:p>
    <w:p w14:paraId="56BD1DE9" w14:textId="77777777" w:rsidR="00540187" w:rsidRDefault="00540187" w:rsidP="00540187"/>
    <w:p w14:paraId="303154C1" w14:textId="77777777" w:rsidR="00540187" w:rsidRDefault="00540187" w:rsidP="00540187">
      <w:r>
        <w:t xml:space="preserve">POSOLOGÍA Y MODO DE USO: </w:t>
      </w:r>
    </w:p>
    <w:p w14:paraId="6F8D332C" w14:textId="77777777" w:rsidR="00540187" w:rsidRDefault="00540187" w:rsidP="00540187">
      <w:r>
        <w:t>Posología</w:t>
      </w:r>
    </w:p>
    <w:p w14:paraId="16F10EA1" w14:textId="77777777" w:rsidR="00540187" w:rsidRDefault="00540187" w:rsidP="00540187">
      <w:r>
        <w:t>La dosis debe ajustarse individualmente. Para cada paciente debe utilizarse la dosis mínima eficaz.</w:t>
      </w:r>
    </w:p>
    <w:p w14:paraId="38CB02D7" w14:textId="77777777" w:rsidR="00540187" w:rsidRDefault="00540187" w:rsidP="00540187">
      <w:r>
        <w:t>Se precisa un ajuste cuidadoso de la dosis y una pauta de tratamiento en dosis divididas para minimizar el riesgo de hipotensión, convulsiones y sedación.</w:t>
      </w:r>
    </w:p>
    <w:p w14:paraId="5F38CF77" w14:textId="77777777" w:rsidR="00540187" w:rsidRDefault="00540187" w:rsidP="00540187">
      <w:r>
        <w:t>El inicio del tratamiento con Clozapin se restringirá a aquellos pacientes con recuento leucocitario &gt;3500/mm3 (3,5x109/L) y un recuento absoluto de neutrófilos &gt;2000/mm3 (2,0x109/L) dentro de los límites normales estandarizados.</w:t>
      </w:r>
    </w:p>
    <w:p w14:paraId="217BEE83" w14:textId="77777777" w:rsidR="00540187" w:rsidRDefault="00540187" w:rsidP="00540187">
      <w:r>
        <w:t>Deberá ajustarse la dosis en pacientes que reciban simultáneamente fármacos que presentan interacciones farmacodinámicas y farmacocinéticas con Clozapin, tales como benzodiazepinas o inhibidores selectivos de la recaptación de serotonina (ver Interacción con Medicamentos y Alimentos).</w:t>
      </w:r>
    </w:p>
    <w:p w14:paraId="2A79C8BF" w14:textId="77777777" w:rsidR="00540187" w:rsidRDefault="00540187" w:rsidP="00540187">
      <w:r>
        <w:t>Cambio de un tratamiento antipsicótico previo a Clozapin</w:t>
      </w:r>
    </w:p>
    <w:p w14:paraId="1D1700DC" w14:textId="77777777" w:rsidR="00540187" w:rsidRDefault="00540187" w:rsidP="00540187">
      <w:r>
        <w:t>En general, se recomienda que Clozapin no se utilice en combinación con otros antipsicóticos. Cuando el tratamiento va a instaurarse en un paciente que recibe terapia antipsicótica oral, se recomienda retirar primero este tratamiento mediante reducción progresiva de la dosis.</w:t>
      </w:r>
    </w:p>
    <w:p w14:paraId="1688B79D" w14:textId="77777777" w:rsidR="00540187" w:rsidRDefault="00540187" w:rsidP="00540187">
      <w:r>
        <w:t>Se recomiendan las dosis siguientes:</w:t>
      </w:r>
    </w:p>
    <w:p w14:paraId="15F8C4A6" w14:textId="77777777" w:rsidR="00540187" w:rsidRDefault="00540187" w:rsidP="00540187">
      <w:r>
        <w:t>Pacientes esquizofrénicos resistentes al tratamiento</w:t>
      </w:r>
    </w:p>
    <w:p w14:paraId="039CDA24" w14:textId="77777777" w:rsidR="00540187" w:rsidRDefault="00540187" w:rsidP="00540187">
      <w:r>
        <w:t>Inicio del tratamiento</w:t>
      </w:r>
    </w:p>
    <w:p w14:paraId="336955A5" w14:textId="77777777" w:rsidR="00540187" w:rsidRDefault="00540187" w:rsidP="00540187">
      <w:r>
        <w:t>12,5 mg una o dos veces el primer día, seguido de 25 mg una o dos veces el segundo día. Si se tolera bien, la dosis diaria puede entonces aumentarse lentamente en incrementos de 25 mg a 50 mg con el fin de alcanzar una dosis de hasta 300 mg/día en 2 ó 3 semanas. A continuación, si es necesario, la dosis diaria puede aumentarse en incrementos de 50 mg a 100 mg cada media semana o preferiblemente a intervalos semanales.</w:t>
      </w:r>
    </w:p>
    <w:p w14:paraId="6B07681E" w14:textId="77777777" w:rsidR="00540187" w:rsidRDefault="00540187" w:rsidP="00540187">
      <w:r>
        <w:t>Rango de dosis terapéutico</w:t>
      </w:r>
    </w:p>
    <w:p w14:paraId="16322430" w14:textId="77777777" w:rsidR="00540187" w:rsidRDefault="00540187" w:rsidP="00540187">
      <w:r>
        <w:t>En la mayoría de los pacientes, puede esperarse eficacia antipsicótica con una dosis de 200 a 450 mg/día administrados en tomas divididas. La dosis total diaria puede ser fraccionada de forma no uniforme, administrándose la dosis mayor al acostarse.</w:t>
      </w:r>
    </w:p>
    <w:p w14:paraId="1CA2FE76" w14:textId="77777777" w:rsidR="00540187" w:rsidRDefault="00540187" w:rsidP="00540187">
      <w:r>
        <w:t>Dosis máxima</w:t>
      </w:r>
    </w:p>
    <w:p w14:paraId="3408B11C" w14:textId="77777777" w:rsidR="00540187" w:rsidRDefault="00540187" w:rsidP="00540187">
      <w:r>
        <w:t>Para obtener el beneficio terapéutico óptimo, algunos pacientes pueden necesitar dosis superiores; en estos casos son permisibles aumentos prudenciales (sin exceder los 100 mg) hasta una dosis máxima de 900 mg/día. Sin embargo, debe tenerse en cuenta que, a dosis superiores a 450 mg/día, aumenta la posibilidad de que aparezcan reacciones adversas (en particular convulsiones).</w:t>
      </w:r>
    </w:p>
    <w:p w14:paraId="4C7F5A82" w14:textId="77777777" w:rsidR="00540187" w:rsidRDefault="00540187" w:rsidP="00540187">
      <w:r>
        <w:t>Dosis de mantenimiento</w:t>
      </w:r>
    </w:p>
    <w:p w14:paraId="4CC0172D" w14:textId="77777777" w:rsidR="00540187" w:rsidRDefault="00540187" w:rsidP="00540187">
      <w:r>
        <w:t>Después de alcanzar el beneficio terapéutico máximo, muchos pacientes pueden mantenerse de modo efectivo con dosis inferiores. Por lo tanto, se recomienda un ajuste descendente cauteloso. El tratamiento deberá mantenerse como mínimo 6 meses. Si la dosis diaria no excede de 200 mg, puede ser factible una única administración por la noche.</w:t>
      </w:r>
    </w:p>
    <w:p w14:paraId="0045ED0C" w14:textId="77777777" w:rsidR="00540187" w:rsidRDefault="00540187" w:rsidP="00540187">
      <w:r>
        <w:t>Finalización del tratamiento</w:t>
      </w:r>
    </w:p>
    <w:p w14:paraId="15A394B8" w14:textId="77777777" w:rsidR="00540187" w:rsidRDefault="00540187" w:rsidP="00540187">
      <w:r>
        <w:t>En caso de haber decidido finalizar el tratamiento, se recomienda una reducción gradual de la dosis durante un periodo de 1 a 2 semanas. Si es necesaria una interrupción brusca, se deberá vigilar estrechamente al paciente en relación a la aparición de reacciones por retirada (ver Precauciones y Advertencias).</w:t>
      </w:r>
    </w:p>
    <w:p w14:paraId="3F8D0287" w14:textId="77777777" w:rsidR="00540187" w:rsidRDefault="00540187" w:rsidP="00540187">
      <w:r>
        <w:lastRenderedPageBreak/>
        <w:t>Reinicio del tratamiento</w:t>
      </w:r>
    </w:p>
    <w:p w14:paraId="1FA6D948" w14:textId="77777777" w:rsidR="00540187" w:rsidRDefault="00540187" w:rsidP="00540187">
      <w:r>
        <w:t>En pacientes, en quienes el intervalo desde la última dosis exceda de 2 días, debe reiniciarse el tratamiento con 12,5 mg administrados una o dos veces el primer día. Si esta dosis es bien tolerada, es posible ajustar la dosis al nivel terapéutico más rápidamente que lo recomendado para el tratamiento inicial.</w:t>
      </w:r>
    </w:p>
    <w:p w14:paraId="5EEA5BD9" w14:textId="77777777" w:rsidR="00540187" w:rsidRDefault="00540187" w:rsidP="00540187">
      <w:r>
        <w:t>Sin embargo, en aquellos pacientes que hubieran experimentado previamente un paro respiratorio o cardíaco con la dosificación inicial (ver Precauciones y Advertencias) pero que después fueron dosificados con éxito hasta una dosis terapéutica, el reajuste de dosis debe realizarse con muchísima precaución.</w:t>
      </w:r>
    </w:p>
    <w:p w14:paraId="5FD2729D" w14:textId="77777777" w:rsidR="00540187" w:rsidRDefault="00540187" w:rsidP="00540187">
      <w:r>
        <w:t>Trastornos psicóticos que aparecen en el curso de la enfermedad de Parkinson, en los casos en los que haya fallado el tratamiento estándar</w:t>
      </w:r>
    </w:p>
    <w:p w14:paraId="2783E89F" w14:textId="77777777" w:rsidR="00540187" w:rsidRDefault="00540187" w:rsidP="00540187">
      <w:r>
        <w:t>Inicio del tratamiento</w:t>
      </w:r>
    </w:p>
    <w:p w14:paraId="0A7FF1B5" w14:textId="77777777" w:rsidR="00540187" w:rsidRDefault="00540187" w:rsidP="00540187">
      <w:r>
        <w:t>La dosis inicial no debe superar los 12,5 mg/día, tomados por la noche. Posteriormente la dosis se aumentará en incrementos de 12,5 mg, con un máximo de dos incrementos a la semana hasta un máximo de 50 mg, los cuales no deben alcanzarse hasta el final de la segunda semana. La cantidad diaria total deberá tomarse en una única dosis, preferiblemente por la noche.</w:t>
      </w:r>
    </w:p>
    <w:p w14:paraId="69686D57" w14:textId="77777777" w:rsidR="00540187" w:rsidRDefault="00540187" w:rsidP="00540187">
      <w:r>
        <w:t>Rango de dosis terapéutico</w:t>
      </w:r>
    </w:p>
    <w:p w14:paraId="66379279" w14:textId="77777777" w:rsidR="00540187" w:rsidRDefault="00540187" w:rsidP="00540187">
      <w:r>
        <w:t>La dosis media efectiva se encuentra entre 25 mg y 37,5 mg/día. En el caso de que el tratamiento, durante un mínimo de una semana con una dosis de 50 mg, no proporcionara una respuesta terapéutica satisfactoria, la dosis puede aumentarse con cuidado mediante incrementos de 12,5 mg/semana.</w:t>
      </w:r>
    </w:p>
    <w:p w14:paraId="7CFB0D10" w14:textId="77777777" w:rsidR="00540187" w:rsidRDefault="00540187" w:rsidP="00540187">
      <w:r>
        <w:t>Dosis máxima</w:t>
      </w:r>
    </w:p>
    <w:p w14:paraId="4631083D" w14:textId="77777777" w:rsidR="00540187" w:rsidRDefault="00540187" w:rsidP="00540187">
      <w:r>
        <w:t>La dosis de 50 mg/día sólo deberá sobrepasarse en casos excepcionales y la dosis máxima de 100 mg/día no debe excederse nunca.</w:t>
      </w:r>
    </w:p>
    <w:p w14:paraId="6215D583" w14:textId="77777777" w:rsidR="00540187" w:rsidRDefault="00540187" w:rsidP="00540187">
      <w:r>
        <w:t>Si aparece hipotensión ortostática, sedación intensa o confusión, deberán limitarse o retrasarse los aumentos de dosis. Durante las primeras semanas de tratamiento deberá controlarse la presión arterial.</w:t>
      </w:r>
    </w:p>
    <w:p w14:paraId="7AACFC1F" w14:textId="77777777" w:rsidR="00540187" w:rsidRDefault="00540187" w:rsidP="00540187">
      <w:r>
        <w:t>Dosis de mantenimiento</w:t>
      </w:r>
    </w:p>
    <w:p w14:paraId="595122ED" w14:textId="77777777" w:rsidR="00540187" w:rsidRDefault="00540187" w:rsidP="00540187">
      <w:r>
        <w:t>Cuando los síntomas psicóticos hayan desaparecido completamente durante al menos dos semanas, es posible aumentar la medicación antiparkinsoniana si así lo permite el estado motor del paciente. Si esto provoca la reaparición de los síntomas psicóticos, puede aumentarse la dosis de Clozapina con incrementos de 12,5 mg/semana, hasta un máximo de 100 mg/día tomados en una o dos dosis (ver arriba).</w:t>
      </w:r>
    </w:p>
    <w:p w14:paraId="18B5CD12" w14:textId="77777777" w:rsidR="00540187" w:rsidRDefault="00540187" w:rsidP="00540187">
      <w:r>
        <w:t>Finalización del tratamiento</w:t>
      </w:r>
    </w:p>
    <w:p w14:paraId="1188DF65" w14:textId="77777777" w:rsidR="00540187" w:rsidRDefault="00540187" w:rsidP="00540187">
      <w:r>
        <w:t>Se recomienda una reducción gradual de la dosis, en fracciones de 12,5 mg, durante un periodo de al menos una semana (preferiblemente dos semanas). El tratamiento ha de interrumpirse inmediatamente en caso de neutropenia o agranulocitosis (ver Precauciones y Advertencias). En este caso, es esencial un cuidadoso control psiquiátrico del paciente ya que los síntomas pueden reaparecer rápidamente.</w:t>
      </w:r>
    </w:p>
    <w:p w14:paraId="4AEECD7A" w14:textId="77777777" w:rsidR="00540187" w:rsidRDefault="00540187" w:rsidP="00540187">
      <w:r>
        <w:t>Poblaciones especiales</w:t>
      </w:r>
    </w:p>
    <w:p w14:paraId="464DAC78" w14:textId="77777777" w:rsidR="00540187" w:rsidRDefault="00540187" w:rsidP="00540187">
      <w:r>
        <w:t>Pacientes con insuficiencia hepática</w:t>
      </w:r>
    </w:p>
    <w:p w14:paraId="2CDE47B2" w14:textId="77777777" w:rsidR="00540187" w:rsidRDefault="00540187" w:rsidP="00540187">
      <w:r>
        <w:t>Se recomienda administrar con precaución Clozapin a pacientes con insuficiencia hepática y monitorizar de forma regular la función del hígado (ver Precauciones y Advertencias).</w:t>
      </w:r>
    </w:p>
    <w:p w14:paraId="667131CE" w14:textId="77777777" w:rsidR="00540187" w:rsidRDefault="00540187" w:rsidP="00540187">
      <w:r>
        <w:t>Población pediátrica</w:t>
      </w:r>
    </w:p>
    <w:p w14:paraId="1F90AA3E" w14:textId="77777777" w:rsidR="00540187" w:rsidRDefault="00540187" w:rsidP="00540187">
      <w:r>
        <w:t>No se recomienda el uso de Clozapin en niños o adolescentes menores de 16 años de edad, ya que los datos disponibles de seguridad y eficacia en estos pacientes son insuficientes. No debe utilizarse en este grupo de edad hasta que se disponga de más datos.</w:t>
      </w:r>
    </w:p>
    <w:p w14:paraId="0BDFD069" w14:textId="77777777" w:rsidR="00540187" w:rsidRDefault="00540187" w:rsidP="00540187">
      <w:r>
        <w:t>Pacientes de 60 años y mayores</w:t>
      </w:r>
    </w:p>
    <w:p w14:paraId="244B155A" w14:textId="77777777" w:rsidR="00540187" w:rsidRDefault="00540187" w:rsidP="00540187">
      <w:r>
        <w:lastRenderedPageBreak/>
        <w:t>Se recomienda iniciar el tratamiento a una dosis particularmente baja (12,5 mg administrados en una sola toma el primer día) y restringir los posteriores incrementos de dosis a 25 mg/día</w:t>
      </w:r>
    </w:p>
    <w:p w14:paraId="6F7EE2ED" w14:textId="77777777" w:rsidR="00540187" w:rsidRDefault="00540187" w:rsidP="00540187"/>
    <w:p w14:paraId="71D49801" w14:textId="77777777" w:rsidR="00540187" w:rsidRDefault="00540187" w:rsidP="00540187">
      <w:r>
        <w:t>CONTRAINDICACIONES:</w:t>
      </w:r>
    </w:p>
    <w:p w14:paraId="03D84C96" w14:textId="77777777" w:rsidR="00540187" w:rsidRDefault="00540187" w:rsidP="00540187">
      <w:r>
        <w:t xml:space="preserve">1- Hipersensibilidad al principio activo o a alguno de los excipientes </w:t>
      </w:r>
    </w:p>
    <w:p w14:paraId="1BFED177" w14:textId="77777777" w:rsidR="00540187" w:rsidRDefault="00540187" w:rsidP="00540187">
      <w:r>
        <w:t>2- Pacientes a los que no se les pueda realizar análisis sanguíneos periódicamente.</w:t>
      </w:r>
    </w:p>
    <w:p w14:paraId="19B673D6" w14:textId="77777777" w:rsidR="00540187" w:rsidRDefault="00540187" w:rsidP="00540187">
      <w:r>
        <w:t>3- Antecedentes de granulocitopenia/agranulocitosis tóxica o idiosincrásica (con la excepción de granulocitopenia/agranulocitosis producida por quimioterapia previa).</w:t>
      </w:r>
    </w:p>
    <w:p w14:paraId="078695AA" w14:textId="77777777" w:rsidR="00540187" w:rsidRDefault="00540187" w:rsidP="00540187">
      <w:r>
        <w:t>4- Antecedentes de agranulocitosis inducida por Clozapin.</w:t>
      </w:r>
    </w:p>
    <w:p w14:paraId="512841B8" w14:textId="77777777" w:rsidR="00540187" w:rsidRDefault="00540187" w:rsidP="00540187">
      <w:r>
        <w:t>5- El tratamiento con Clozapin no debe iniciarse concomitantemente con sustancias de las que se conoce que tienen potencial importante para causar agranulocitosis; debe evitarse el uso concomitante con antipsicóticos depot.</w:t>
      </w:r>
    </w:p>
    <w:p w14:paraId="106E1B12" w14:textId="77777777" w:rsidR="00540187" w:rsidRDefault="00540187" w:rsidP="00540187">
      <w:r>
        <w:t>6- Función alterada de la médula ósea.</w:t>
      </w:r>
    </w:p>
    <w:p w14:paraId="6B11323D" w14:textId="77777777" w:rsidR="00540187" w:rsidRDefault="00540187" w:rsidP="00540187">
      <w:r>
        <w:t>7- Epilepsia no controlada.</w:t>
      </w:r>
    </w:p>
    <w:p w14:paraId="0DC150EA" w14:textId="77777777" w:rsidR="00540187" w:rsidRDefault="00540187" w:rsidP="00540187">
      <w:r>
        <w:t>8- Psicosis alcohólica u otras psicosis tóxicas, intoxicación por fármacos, estados comatosos.</w:t>
      </w:r>
    </w:p>
    <w:p w14:paraId="4C49D322" w14:textId="77777777" w:rsidR="00540187" w:rsidRDefault="00540187" w:rsidP="00540187">
      <w:r>
        <w:t>9- Colapso circulatorio y/o depresión del SNC de cualquier etiología.</w:t>
      </w:r>
    </w:p>
    <w:p w14:paraId="4735AD0C" w14:textId="77777777" w:rsidR="00540187" w:rsidRDefault="00540187" w:rsidP="00540187">
      <w:r>
        <w:t>10- Trastornos renales o cardíacos severos (p.ej. miocarditis).</w:t>
      </w:r>
    </w:p>
    <w:p w14:paraId="713C7C33" w14:textId="77777777" w:rsidR="00540187" w:rsidRDefault="00540187" w:rsidP="00540187">
      <w:r>
        <w:t>11- Enfermedad hepática activa asociada a náuseas, anorexia o ictericia; enfermedad hepática progresiva, insuficiencia hepática.</w:t>
      </w:r>
    </w:p>
    <w:p w14:paraId="38759E5F" w14:textId="77777777" w:rsidR="00540187" w:rsidRDefault="00540187" w:rsidP="00540187">
      <w:r>
        <w:t>12- Íleo paralítico.</w:t>
      </w:r>
    </w:p>
    <w:p w14:paraId="13498771" w14:textId="77777777" w:rsidR="00540187" w:rsidRDefault="00540187" w:rsidP="00540187"/>
    <w:p w14:paraId="06DDC73B" w14:textId="77777777" w:rsidR="00540187" w:rsidRDefault="00540187" w:rsidP="00540187">
      <w:r>
        <w:t>PRECAUCIONES Y ADVERTENCIAS:</w:t>
      </w:r>
    </w:p>
    <w:p w14:paraId="0530D95C" w14:textId="77777777" w:rsidR="00540187" w:rsidRDefault="00540187" w:rsidP="00540187">
      <w:r>
        <w:t xml:space="preserve">Agranulocitosis </w:t>
      </w:r>
    </w:p>
    <w:p w14:paraId="3E0F575E" w14:textId="77777777" w:rsidR="00540187" w:rsidRDefault="00540187" w:rsidP="00540187">
      <w:r>
        <w:t>Clozapin puede causar agranulocitosis. La incidencia de agranulocitosis y la tasa de mortalidad en aquellos pacientes que hayan desarrollado agranulocitosis han disminuido de forma clara desde la instauración de los recuentos leucocitarios y de los recuentos absolutos de neutrófilos. Las siguientes medidas de precaución son, por tanto, obligatorias y deberán realizarse de acuerdo con las recomendaciones oficiales.</w:t>
      </w:r>
    </w:p>
    <w:p w14:paraId="6D978CC9" w14:textId="77777777" w:rsidR="00540187" w:rsidRDefault="00540187" w:rsidP="00540187"/>
    <w:p w14:paraId="6A00DA7A" w14:textId="77777777" w:rsidR="00540187" w:rsidRDefault="00540187" w:rsidP="00540187">
      <w:r>
        <w:t>Debido a los riesgos asociados con Clozapin, su uso está limitado a pacientes en los que el tratamiento esté indicado como se especifica en las Indicaciones Terapéuticas y:</w:t>
      </w:r>
    </w:p>
    <w:p w14:paraId="3DCA640B" w14:textId="77777777" w:rsidR="00540187" w:rsidRDefault="00540187" w:rsidP="00540187">
      <w:r>
        <w:t>1- Que hayan tenido inicialmente un recuento de leucocitos normal (recuento leucocitario</w:t>
      </w:r>
    </w:p>
    <w:p w14:paraId="186CDF27" w14:textId="77777777" w:rsidR="00540187" w:rsidRDefault="00540187" w:rsidP="00540187">
      <w:r>
        <w:t>≥ 3500/mm3(3,5x109/L), y recuento absoluto de neutrófilos ≥ 2000/mm3 (2,0x109/L)) y,</w:t>
      </w:r>
    </w:p>
    <w:p w14:paraId="23B996E3" w14:textId="77777777" w:rsidR="00540187" w:rsidRDefault="00540187" w:rsidP="00540187">
      <w:r>
        <w:t xml:space="preserve">2- A los que se les pueda realizar regularmente recuentos leucocitarios y recuentos absolutos de neutrófilos semanalmente durante las primeras 18 semanas de tratamiento y como mínimo a intervalos de 4 semanas posteriormente. </w:t>
      </w:r>
    </w:p>
    <w:p w14:paraId="21DE5364" w14:textId="77777777" w:rsidR="00540187" w:rsidRDefault="00540187" w:rsidP="00540187">
      <w:r>
        <w:t xml:space="preserve">Los controles han de continuar durante todo el tratamiento y durante 4 semanas tras la interrupción completa del mismo. Antes de iniciar el tratamiento con clozapina, debe realizarse un análisis de sangre (ver "agranulocitosis"), una historia clínica completa y un examen médico. Los pacientes con antecedentes de enfermedad cardíaca o  en los que se detecten hallazgos cardíacos anormales durante el examen médico deben ser remitidos a un especialista para que se le realicen otras exploraciones, entre ellas un ECG y sólo se tratará al paciente si los beneficios esperados </w:t>
      </w:r>
      <w:r>
        <w:lastRenderedPageBreak/>
        <w:t>superan claramente los riesgos (ver Contraindicaciones). El médico que instaure el tratamiento deberá valorar el realizar un ECG antes del tratamiento.</w:t>
      </w:r>
    </w:p>
    <w:p w14:paraId="6931DD65" w14:textId="77777777" w:rsidR="00540187" w:rsidRDefault="00540187" w:rsidP="00540187">
      <w:r>
        <w:t>Los médicos deben cumplir con la totalidad de las medidas de seguridad establecidas.</w:t>
      </w:r>
    </w:p>
    <w:p w14:paraId="39076321" w14:textId="77777777" w:rsidR="00540187" w:rsidRDefault="00540187" w:rsidP="00540187">
      <w:r>
        <w:t>Antes de iniciar el tratamiento, el médico ha de asegurarse, de que el paciente no ha experimentado previamente una reacción hematológica adversa a clozapina que necesitara la interrupción del tratamiento. Las prescripciones no deben realizarse para periodos superiores al intervalo entre dos análisis sanguíneos. La interrupción inmediata del tratamiento con Clozapin es obligada si el recuento leucocitario es menor de 3000/mm3 (3,0x109/L) o el recuento absoluto de neutrófilos es menor de 1500/mm3 (1,5x109/L) en cualquier momento durante el tratamiento con Clozapin. Los pacientes a los que se les haya interrumpido el tratamiento con Clozapin como resultado de alteraciones en el recuento leucocitario o en el recuento absoluto de neutrófilos no deberán ser re-expuestos a Clozapin. En cada visita debe recordarse al paciente en tratamiento con Clozapin que contacte con su médico de inmediato si empieza a desarrollar cualquier tipo de infección. Debe prestarse especial atención a síntomas de tipo gripal tales como fiebre o dolor de garganta y a cualquier otra evidencia de infección que pueda ser indicativa de neutropenia. Los pacientes y sus cuidadores deberán ser informados de que en caso de que se produzcan estos síntomas, debe realizarse un análisis sanguíneo inmediatamente. Los médicos deberán mantener un registro de los resultados de los análisis sanguíneos y tomar las medidas necesarias para evitar que estos pacientes sean re-expuestos de forma inadvertida en el futuro.</w:t>
      </w:r>
    </w:p>
    <w:p w14:paraId="6B72B0FE" w14:textId="77777777" w:rsidR="00540187" w:rsidRDefault="00540187" w:rsidP="00540187">
      <w:r>
        <w:t>Los pacientes con antecedentes de trastornos primarios de la médula ósea deberán ser tratados sólo si los beneficios superan los riesgos. Estos pacientes deben ser examinados exhaustivamente por un hematólogo antes de iniciar el tratamiento con Clozapin.</w:t>
      </w:r>
    </w:p>
    <w:p w14:paraId="29FCEF78" w14:textId="77777777" w:rsidR="00540187" w:rsidRDefault="00540187" w:rsidP="00540187">
      <w:r>
        <w:t>En los pacientes que presentan recuentos leucocitarios bajos debido a neutropenia étnica benigna el tratamiento con Clozapin debe iniciarse sólo si el hematólogo da su consentimiento.</w:t>
      </w:r>
    </w:p>
    <w:p w14:paraId="677B9759" w14:textId="77777777" w:rsidR="00540187" w:rsidRDefault="00540187" w:rsidP="00540187">
      <w:r>
        <w:t>Control del recuento leucocitario y del recuento absoluto de neutrófilos</w:t>
      </w:r>
    </w:p>
    <w:p w14:paraId="0B6A197C" w14:textId="77777777" w:rsidR="00540187" w:rsidRDefault="00540187" w:rsidP="00540187">
      <w:r>
        <w:t>Antes de iniciar el tratamiento debe realizarse un recuento leucocitario y fórmula hemática diferencial, en los 10 días previos, para asegurar que solamente reciban Clozapin los pacientes con recuento leucocitario normal y recuento absoluto de neutrófilos normal (recuento leucocitario &gt;3500/mm3 (3,5x109/L) y recuento absoluto de neutrófilos &gt;2000/mm3 (2,0x109/L). Después del inicio del tratamiento con Clozapin, debe realizarse y monitorizarse semanalmente el recuento leucocitario y el recuento absoluto de neutrófilos, durante las primeras 18 semanas y a continuación, al menos a intervalos de 4 semanas.</w:t>
      </w:r>
    </w:p>
    <w:p w14:paraId="00606FF6" w14:textId="77777777" w:rsidR="00540187" w:rsidRDefault="00540187" w:rsidP="00540187">
      <w:r>
        <w:t>El control debe continuar durante todo el tratamiento y durante 4 semanas tras la interrupción completa de Clozapin o hasta que se haya producido la recuperación hematológica (ver “Recuento leucocitario o recuento absoluto de neutrófilos bajo”).</w:t>
      </w:r>
    </w:p>
    <w:p w14:paraId="0EB3CF8A" w14:textId="77777777" w:rsidR="00540187" w:rsidRDefault="00540187" w:rsidP="00540187">
      <w:r>
        <w:t>En cada consulta debe recordarse al paciente que contacte inmediatamente con el médico que le trata si empieza a desarrollar cualquier tipo de infección, fiebre, dolor de garganta u otros síntomas similares a la gripe. Deberá realizarse inmediatamente un recuento leucocitario y una fórmula hemática diferencial si se producen signos o síntomas de infección.</w:t>
      </w:r>
    </w:p>
    <w:p w14:paraId="232DAA31" w14:textId="77777777" w:rsidR="00540187" w:rsidRDefault="00540187" w:rsidP="00540187">
      <w:r>
        <w:t>Recuento leucocitario o recuento absoluto de neutrófilos bajo</w:t>
      </w:r>
    </w:p>
    <w:p w14:paraId="29E6DF78" w14:textId="77777777" w:rsidR="00540187" w:rsidRDefault="00540187" w:rsidP="00540187">
      <w:r>
        <w:t>Si durante el tratamiento con Clozapin, el recuento leucocitario disminuye entre 3500/mm3 (3,5x109/L) y 3000/mm3 (3,0x109/L) o el recuento absoluto de neutrófilos disminuye entre 2000/mm3 (2,0x109/L) y 1500/mm3 (1,5x109/L), se realizarán controles hematológicos al menos 2 veces a la semana hasta que el recuento leucocitario y el recuento absoluto de neutrófilos se normalice al menos dentro del rango de 3000-3500/mm3 (3,0-3,5x109/L) y 1500-2000/mm3 (1,5-2,0x109/L)respectivamente.</w:t>
      </w:r>
    </w:p>
    <w:p w14:paraId="1917B718" w14:textId="77777777" w:rsidR="00540187" w:rsidRDefault="00540187" w:rsidP="00540187">
      <w:r>
        <w:t xml:space="preserve">Es obligada la interrupción inmediata del tratamiento con Clozapin si el recuento leucocitario es inferior a 3000/mm3 (3,0x109/L) o el recuento absoluto de neutrófilos es menor de 1500/mm3 (1,5x109/L) durante el tratamiento. Se deberán realizar entonces diariamente recuentos leucocitarios y fórmulas hemáticas diferenciales y los pacientes deberán ser estrechamente controlados en lo que se refiere a síntomas gripales u otros síntomas que pudieran ser </w:t>
      </w:r>
      <w:r>
        <w:lastRenderedPageBreak/>
        <w:t>indicativos de infección. Se recomienda la confirmación de estos valores realizando dos recuentos hemáticos dos días consecutivos. Sin embargo, se interrumpirá el tratamiento con Clozapin tras el primer recuento.</w:t>
      </w:r>
    </w:p>
    <w:p w14:paraId="3DD7C58C" w14:textId="2E844EBF" w:rsidR="00540187" w:rsidRDefault="00540187" w:rsidP="00540187">
      <w:r>
        <w:t>Tras la interrupción del tratamiento con Clozapin, se requiere un control hematológico hasta que se produzca la normalización de los valores hemáticos.</w:t>
      </w:r>
    </w:p>
    <w:tbl>
      <w:tblPr>
        <w:tblStyle w:val="TableGrid"/>
        <w:tblW w:w="3961" w:type="dxa"/>
        <w:tblInd w:w="2532" w:type="dxa"/>
        <w:tblCellMar>
          <w:top w:w="21" w:type="dxa"/>
          <w:left w:w="26" w:type="dxa"/>
          <w:bottom w:w="0" w:type="dxa"/>
          <w:right w:w="12" w:type="dxa"/>
        </w:tblCellMar>
        <w:tblLook w:val="04A0" w:firstRow="1" w:lastRow="0" w:firstColumn="1" w:lastColumn="0" w:noHBand="0" w:noVBand="1"/>
      </w:tblPr>
      <w:tblGrid>
        <w:gridCol w:w="1175"/>
        <w:gridCol w:w="1032"/>
        <w:gridCol w:w="1754"/>
      </w:tblGrid>
      <w:tr w:rsidR="00540187" w14:paraId="2873FCB6" w14:textId="77777777" w:rsidTr="00A22D4A">
        <w:trPr>
          <w:trHeight w:val="120"/>
        </w:trPr>
        <w:tc>
          <w:tcPr>
            <w:tcW w:w="2206" w:type="dxa"/>
            <w:gridSpan w:val="2"/>
            <w:tcBorders>
              <w:top w:val="single" w:sz="2" w:space="0" w:color="373334"/>
              <w:left w:val="single" w:sz="2" w:space="0" w:color="373334"/>
              <w:bottom w:val="single" w:sz="2" w:space="0" w:color="373334"/>
              <w:right w:val="single" w:sz="2" w:space="0" w:color="373334"/>
            </w:tcBorders>
          </w:tcPr>
          <w:p w14:paraId="3B3C0A44" w14:textId="77777777" w:rsidR="00540187" w:rsidRDefault="00540187" w:rsidP="00A22D4A">
            <w:r>
              <w:rPr>
                <w:rFonts w:ascii="Arial MT" w:eastAsia="Arial MT" w:hAnsi="Arial MT" w:cs="Arial MT"/>
                <w:b/>
                <w:color w:val="373334"/>
                <w:sz w:val="10"/>
              </w:rPr>
              <w:t>Recuento hematológico</w:t>
            </w:r>
          </w:p>
        </w:tc>
        <w:tc>
          <w:tcPr>
            <w:tcW w:w="1754" w:type="dxa"/>
            <w:vMerge w:val="restart"/>
            <w:tcBorders>
              <w:top w:val="single" w:sz="2" w:space="0" w:color="373334"/>
              <w:left w:val="single" w:sz="2" w:space="0" w:color="373334"/>
              <w:bottom w:val="single" w:sz="2" w:space="0" w:color="373334"/>
              <w:right w:val="single" w:sz="2" w:space="0" w:color="373334"/>
            </w:tcBorders>
          </w:tcPr>
          <w:p w14:paraId="0962A581" w14:textId="77777777" w:rsidR="00540187" w:rsidRDefault="00540187" w:rsidP="00A22D4A">
            <w:pPr>
              <w:ind w:left="15"/>
              <w:jc w:val="center"/>
            </w:pPr>
            <w:r>
              <w:rPr>
                <w:rFonts w:ascii="Arial MT" w:eastAsia="Arial MT" w:hAnsi="Arial MT" w:cs="Arial MT"/>
                <w:b/>
                <w:color w:val="373334"/>
                <w:sz w:val="10"/>
              </w:rPr>
              <w:t>Acción requerida</w:t>
            </w:r>
          </w:p>
        </w:tc>
      </w:tr>
      <w:tr w:rsidR="00540187" w14:paraId="45F17156" w14:textId="77777777" w:rsidTr="00A22D4A">
        <w:trPr>
          <w:trHeight w:val="365"/>
        </w:trPr>
        <w:tc>
          <w:tcPr>
            <w:tcW w:w="1175" w:type="dxa"/>
            <w:tcBorders>
              <w:top w:val="single" w:sz="2" w:space="0" w:color="373334"/>
              <w:left w:val="single" w:sz="2" w:space="0" w:color="373334"/>
              <w:bottom w:val="single" w:sz="2" w:space="0" w:color="373334"/>
              <w:right w:val="single" w:sz="2" w:space="0" w:color="373334"/>
            </w:tcBorders>
          </w:tcPr>
          <w:p w14:paraId="04B2AA76" w14:textId="77777777" w:rsidR="00540187" w:rsidRDefault="00540187" w:rsidP="00A22D4A">
            <w:pPr>
              <w:spacing w:after="24"/>
            </w:pPr>
            <w:r>
              <w:rPr>
                <w:rFonts w:ascii="Arial MT" w:eastAsia="Arial MT" w:hAnsi="Arial MT" w:cs="Arial MT"/>
                <w:color w:val="373334"/>
                <w:sz w:val="10"/>
              </w:rPr>
              <w:t>Recuento</w:t>
            </w:r>
          </w:p>
          <w:p w14:paraId="55422A43" w14:textId="77777777" w:rsidR="00540187" w:rsidRDefault="00540187" w:rsidP="00A22D4A">
            <w:r>
              <w:rPr>
                <w:rFonts w:ascii="Arial MT" w:eastAsia="Arial MT" w:hAnsi="Arial MT" w:cs="Arial MT"/>
                <w:color w:val="373334"/>
                <w:sz w:val="10"/>
              </w:rPr>
              <w:t>leucocitario/mm</w:t>
            </w:r>
            <w:r>
              <w:rPr>
                <w:rFonts w:ascii="Arial MT" w:eastAsia="Arial MT" w:hAnsi="Arial MT" w:cs="Arial MT"/>
                <w:color w:val="373334"/>
                <w:sz w:val="10"/>
                <w:vertAlign w:val="superscript"/>
              </w:rPr>
              <w:t xml:space="preserve">3 </w:t>
            </w:r>
            <w:r>
              <w:rPr>
                <w:rFonts w:ascii="Arial MT" w:eastAsia="Arial MT" w:hAnsi="Arial MT" w:cs="Arial MT"/>
                <w:color w:val="373334"/>
                <w:sz w:val="10"/>
              </w:rPr>
              <w:t>(/L)</w:t>
            </w:r>
          </w:p>
        </w:tc>
        <w:tc>
          <w:tcPr>
            <w:tcW w:w="1032" w:type="dxa"/>
            <w:tcBorders>
              <w:top w:val="single" w:sz="2" w:space="0" w:color="373334"/>
              <w:left w:val="single" w:sz="2" w:space="0" w:color="373334"/>
              <w:bottom w:val="single" w:sz="2" w:space="0" w:color="373334"/>
              <w:right w:val="single" w:sz="2" w:space="0" w:color="373334"/>
            </w:tcBorders>
          </w:tcPr>
          <w:p w14:paraId="665C2B6C" w14:textId="77777777" w:rsidR="00540187" w:rsidRDefault="00540187" w:rsidP="00A22D4A">
            <w:pPr>
              <w:ind w:left="3"/>
            </w:pPr>
            <w:r>
              <w:rPr>
                <w:rFonts w:ascii="Arial MT" w:eastAsia="Arial MT" w:hAnsi="Arial MT" w:cs="Arial MT"/>
                <w:color w:val="373334"/>
                <w:sz w:val="10"/>
              </w:rPr>
              <w:t>Recuento absoluto deneutrófilos/mm</w:t>
            </w:r>
            <w:r>
              <w:rPr>
                <w:rFonts w:ascii="Arial MT" w:eastAsia="Arial MT" w:hAnsi="Arial MT" w:cs="Arial MT"/>
                <w:color w:val="373334"/>
                <w:sz w:val="10"/>
                <w:vertAlign w:val="superscript"/>
              </w:rPr>
              <w:t>3</w:t>
            </w:r>
            <w:r>
              <w:rPr>
                <w:rFonts w:ascii="Arial MT" w:eastAsia="Arial MT" w:hAnsi="Arial MT" w:cs="Arial MT"/>
                <w:color w:val="373334"/>
                <w:sz w:val="10"/>
              </w:rPr>
              <w:t xml:space="preserve"> (/L)</w:t>
            </w:r>
          </w:p>
        </w:tc>
        <w:tc>
          <w:tcPr>
            <w:tcW w:w="0" w:type="auto"/>
            <w:vMerge/>
            <w:tcBorders>
              <w:top w:val="nil"/>
              <w:left w:val="single" w:sz="2" w:space="0" w:color="373334"/>
              <w:bottom w:val="single" w:sz="2" w:space="0" w:color="373334"/>
              <w:right w:val="single" w:sz="2" w:space="0" w:color="373334"/>
            </w:tcBorders>
          </w:tcPr>
          <w:p w14:paraId="78FABB54" w14:textId="77777777" w:rsidR="00540187" w:rsidRDefault="00540187" w:rsidP="00A22D4A"/>
        </w:tc>
      </w:tr>
      <w:tr w:rsidR="00540187" w14:paraId="32B6FDC1" w14:textId="77777777" w:rsidTr="00A22D4A">
        <w:trPr>
          <w:trHeight w:val="140"/>
        </w:trPr>
        <w:tc>
          <w:tcPr>
            <w:tcW w:w="1175" w:type="dxa"/>
            <w:tcBorders>
              <w:top w:val="single" w:sz="2" w:space="0" w:color="373334"/>
              <w:left w:val="single" w:sz="2" w:space="0" w:color="373334"/>
              <w:bottom w:val="single" w:sz="2" w:space="0" w:color="373334"/>
              <w:right w:val="single" w:sz="2" w:space="0" w:color="373334"/>
            </w:tcBorders>
          </w:tcPr>
          <w:p w14:paraId="5A95D8C4" w14:textId="77777777" w:rsidR="00540187" w:rsidRDefault="00540187" w:rsidP="00A22D4A">
            <w:pPr>
              <w:ind w:left="10"/>
            </w:pPr>
            <w:r>
              <w:rPr>
                <w:rFonts w:ascii="Arial MT" w:eastAsia="Arial MT" w:hAnsi="Arial MT" w:cs="Arial MT"/>
                <w:color w:val="373334"/>
                <w:sz w:val="10"/>
              </w:rPr>
              <w:t>≥ 3500 (≥ 3,5x10</w:t>
            </w:r>
            <w:r>
              <w:rPr>
                <w:rFonts w:ascii="Arial MT" w:eastAsia="Arial MT" w:hAnsi="Arial MT" w:cs="Arial MT"/>
                <w:color w:val="373334"/>
                <w:sz w:val="10"/>
                <w:vertAlign w:val="superscript"/>
              </w:rPr>
              <w:t>9</w:t>
            </w:r>
            <w:r>
              <w:rPr>
                <w:rFonts w:ascii="Arial MT" w:eastAsia="Arial MT" w:hAnsi="Arial MT" w:cs="Arial MT"/>
                <w:color w:val="373334"/>
                <w:sz w:val="10"/>
              </w:rPr>
              <w:t>)</w:t>
            </w:r>
          </w:p>
        </w:tc>
        <w:tc>
          <w:tcPr>
            <w:tcW w:w="1032" w:type="dxa"/>
            <w:tcBorders>
              <w:top w:val="single" w:sz="2" w:space="0" w:color="373334"/>
              <w:left w:val="single" w:sz="2" w:space="0" w:color="373334"/>
              <w:bottom w:val="single" w:sz="2" w:space="0" w:color="373334"/>
              <w:right w:val="single" w:sz="2" w:space="0" w:color="373334"/>
            </w:tcBorders>
          </w:tcPr>
          <w:p w14:paraId="41A9BFF4" w14:textId="77777777" w:rsidR="00540187" w:rsidRDefault="00540187" w:rsidP="00A22D4A">
            <w:pPr>
              <w:ind w:left="52"/>
            </w:pPr>
            <w:r>
              <w:rPr>
                <w:rFonts w:ascii="Arial MT" w:eastAsia="Arial MT" w:hAnsi="Arial MT" w:cs="Arial MT"/>
                <w:color w:val="373334"/>
                <w:sz w:val="10"/>
              </w:rPr>
              <w:t>≥  2000 (≥ 2,0x10</w:t>
            </w:r>
            <w:r>
              <w:rPr>
                <w:rFonts w:ascii="Arial MT" w:eastAsia="Arial MT" w:hAnsi="Arial MT" w:cs="Arial MT"/>
                <w:color w:val="373334"/>
                <w:sz w:val="10"/>
                <w:vertAlign w:val="superscript"/>
              </w:rPr>
              <w:t>9</w:t>
            </w:r>
            <w:r>
              <w:rPr>
                <w:rFonts w:ascii="Arial MT" w:eastAsia="Arial MT" w:hAnsi="Arial MT" w:cs="Arial MT"/>
                <w:color w:val="373334"/>
                <w:sz w:val="10"/>
              </w:rPr>
              <w:t>)</w:t>
            </w:r>
          </w:p>
        </w:tc>
        <w:tc>
          <w:tcPr>
            <w:tcW w:w="1754" w:type="dxa"/>
            <w:tcBorders>
              <w:top w:val="single" w:sz="2" w:space="0" w:color="373334"/>
              <w:left w:val="single" w:sz="2" w:space="0" w:color="373334"/>
              <w:bottom w:val="single" w:sz="2" w:space="0" w:color="373334"/>
              <w:right w:val="single" w:sz="2" w:space="0" w:color="373334"/>
            </w:tcBorders>
          </w:tcPr>
          <w:p w14:paraId="2835CAEF" w14:textId="77777777" w:rsidR="00540187" w:rsidRDefault="00540187" w:rsidP="00A22D4A">
            <w:r>
              <w:rPr>
                <w:rFonts w:ascii="Arial MT" w:eastAsia="Arial MT" w:hAnsi="Arial MT" w:cs="Arial MT"/>
                <w:color w:val="373334"/>
                <w:sz w:val="10"/>
              </w:rPr>
              <w:t>Continuar el tratamiento con Clozapin</w:t>
            </w:r>
          </w:p>
        </w:tc>
      </w:tr>
      <w:tr w:rsidR="00540187" w14:paraId="52BC8992" w14:textId="77777777" w:rsidTr="00A22D4A">
        <w:trPr>
          <w:trHeight w:val="383"/>
        </w:trPr>
        <w:tc>
          <w:tcPr>
            <w:tcW w:w="1175" w:type="dxa"/>
            <w:tcBorders>
              <w:top w:val="single" w:sz="2" w:space="0" w:color="373334"/>
              <w:left w:val="single" w:sz="2" w:space="0" w:color="373334"/>
              <w:bottom w:val="single" w:sz="2" w:space="0" w:color="373334"/>
              <w:right w:val="single" w:sz="2" w:space="0" w:color="373334"/>
            </w:tcBorders>
          </w:tcPr>
          <w:p w14:paraId="3131A12B" w14:textId="77777777" w:rsidR="00540187" w:rsidRDefault="00540187" w:rsidP="00A22D4A">
            <w:pPr>
              <w:spacing w:after="25"/>
            </w:pPr>
            <w:r>
              <w:rPr>
                <w:rFonts w:ascii="Arial MT" w:eastAsia="Arial MT" w:hAnsi="Arial MT" w:cs="Arial MT"/>
                <w:color w:val="373334"/>
                <w:sz w:val="10"/>
              </w:rPr>
              <w:t>Entre ≥ 3000 y &lt;3500</w:t>
            </w:r>
          </w:p>
          <w:p w14:paraId="5800B01B" w14:textId="77777777" w:rsidR="00540187" w:rsidRDefault="00540187" w:rsidP="00A22D4A">
            <w:r>
              <w:rPr>
                <w:rFonts w:ascii="Arial MT" w:eastAsia="Arial MT" w:hAnsi="Arial MT" w:cs="Arial MT"/>
                <w:color w:val="373334"/>
                <w:sz w:val="10"/>
              </w:rPr>
              <w:t>(≥3,0x10</w:t>
            </w:r>
            <w:r>
              <w:rPr>
                <w:rFonts w:ascii="Arial MT" w:eastAsia="Arial MT" w:hAnsi="Arial MT" w:cs="Arial MT"/>
                <w:color w:val="373334"/>
                <w:sz w:val="10"/>
                <w:vertAlign w:val="superscript"/>
              </w:rPr>
              <w:t xml:space="preserve">9 </w:t>
            </w:r>
            <w:r>
              <w:rPr>
                <w:rFonts w:ascii="Arial MT" w:eastAsia="Arial MT" w:hAnsi="Arial MT" w:cs="Arial MT"/>
                <w:color w:val="373334"/>
                <w:sz w:val="10"/>
              </w:rPr>
              <w:t>y &lt; 3,5x10</w:t>
            </w:r>
            <w:r>
              <w:rPr>
                <w:rFonts w:ascii="Arial MT" w:eastAsia="Arial MT" w:hAnsi="Arial MT" w:cs="Arial MT"/>
                <w:color w:val="373334"/>
                <w:sz w:val="10"/>
                <w:vertAlign w:val="superscript"/>
              </w:rPr>
              <w:t>9</w:t>
            </w:r>
            <w:r>
              <w:rPr>
                <w:rFonts w:ascii="Arial MT" w:eastAsia="Arial MT" w:hAnsi="Arial MT" w:cs="Arial MT"/>
                <w:color w:val="373334"/>
                <w:sz w:val="10"/>
              </w:rPr>
              <w:t>)</w:t>
            </w:r>
          </w:p>
        </w:tc>
        <w:tc>
          <w:tcPr>
            <w:tcW w:w="1032" w:type="dxa"/>
            <w:tcBorders>
              <w:top w:val="single" w:sz="2" w:space="0" w:color="373334"/>
              <w:left w:val="single" w:sz="2" w:space="0" w:color="373334"/>
              <w:bottom w:val="single" w:sz="2" w:space="0" w:color="373334"/>
              <w:right w:val="single" w:sz="2" w:space="0" w:color="373334"/>
            </w:tcBorders>
          </w:tcPr>
          <w:p w14:paraId="2D70F292" w14:textId="77777777" w:rsidR="00540187" w:rsidRDefault="00540187" w:rsidP="00A22D4A">
            <w:pPr>
              <w:ind w:left="3"/>
            </w:pPr>
            <w:r>
              <w:rPr>
                <w:rFonts w:ascii="Arial MT" w:eastAsia="Arial MT" w:hAnsi="Arial MT" w:cs="Arial MT"/>
                <w:color w:val="373334"/>
                <w:sz w:val="10"/>
              </w:rPr>
              <w:t>Entre ≥1500 y &lt;2000</w:t>
            </w:r>
          </w:p>
          <w:p w14:paraId="6116A10E" w14:textId="77777777" w:rsidR="00540187" w:rsidRDefault="00540187" w:rsidP="00A22D4A">
            <w:pPr>
              <w:spacing w:line="216" w:lineRule="auto"/>
              <w:ind w:left="3" w:right="178" w:firstLine="385"/>
            </w:pPr>
            <w:r>
              <w:rPr>
                <w:rFonts w:ascii="Arial MT" w:eastAsia="Arial MT" w:hAnsi="Arial MT" w:cs="Arial MT"/>
                <w:color w:val="373334"/>
                <w:sz w:val="7"/>
              </w:rPr>
              <w:t xml:space="preserve">9 </w:t>
            </w:r>
            <w:r>
              <w:rPr>
                <w:rFonts w:ascii="Arial MT" w:eastAsia="Arial MT" w:hAnsi="Arial MT" w:cs="Arial MT"/>
                <w:color w:val="373334"/>
                <w:sz w:val="10"/>
              </w:rPr>
              <w:t xml:space="preserve">(≥1,5x10 y </w:t>
            </w:r>
          </w:p>
          <w:p w14:paraId="3C2D8402" w14:textId="77777777" w:rsidR="00540187" w:rsidRDefault="00540187" w:rsidP="00A22D4A">
            <w:pPr>
              <w:ind w:left="392"/>
            </w:pPr>
            <w:r>
              <w:rPr>
                <w:rFonts w:ascii="Arial MT" w:eastAsia="Arial MT" w:hAnsi="Arial MT" w:cs="Arial MT"/>
                <w:color w:val="373334"/>
                <w:sz w:val="7"/>
              </w:rPr>
              <w:t>9</w:t>
            </w:r>
          </w:p>
          <w:p w14:paraId="392E061C" w14:textId="77777777" w:rsidR="00540187" w:rsidRDefault="00540187" w:rsidP="00A22D4A">
            <w:pPr>
              <w:ind w:left="3"/>
            </w:pPr>
            <w:r>
              <w:rPr>
                <w:rFonts w:ascii="Arial MT" w:eastAsia="Arial MT" w:hAnsi="Arial MT" w:cs="Arial MT"/>
                <w:color w:val="373334"/>
                <w:sz w:val="10"/>
              </w:rPr>
              <w:t>&lt;-2,0x10 )</w:t>
            </w:r>
          </w:p>
        </w:tc>
        <w:tc>
          <w:tcPr>
            <w:tcW w:w="1754" w:type="dxa"/>
            <w:tcBorders>
              <w:top w:val="single" w:sz="2" w:space="0" w:color="373334"/>
              <w:left w:val="single" w:sz="2" w:space="0" w:color="373334"/>
              <w:bottom w:val="single" w:sz="2" w:space="0" w:color="373334"/>
              <w:right w:val="single" w:sz="2" w:space="0" w:color="373334"/>
            </w:tcBorders>
          </w:tcPr>
          <w:p w14:paraId="35AD41A8" w14:textId="77777777" w:rsidR="00540187" w:rsidRDefault="00540187" w:rsidP="00A22D4A">
            <w:pPr>
              <w:ind w:left="3"/>
            </w:pPr>
            <w:r>
              <w:rPr>
                <w:rFonts w:ascii="Arial MT" w:eastAsia="Arial MT" w:hAnsi="Arial MT" w:cs="Arial MT"/>
                <w:color w:val="373334"/>
                <w:sz w:val="10"/>
              </w:rPr>
              <w:t xml:space="preserve">Continuar el tratamiento con Clozapin, toma de análisis bisemanal hasta que el recuento se estabilice o aumente. </w:t>
            </w:r>
          </w:p>
        </w:tc>
      </w:tr>
      <w:tr w:rsidR="00540187" w14:paraId="4F1D8650" w14:textId="77777777" w:rsidTr="00A22D4A">
        <w:trPr>
          <w:trHeight w:val="687"/>
        </w:trPr>
        <w:tc>
          <w:tcPr>
            <w:tcW w:w="1175" w:type="dxa"/>
            <w:tcBorders>
              <w:top w:val="single" w:sz="2" w:space="0" w:color="373334"/>
              <w:left w:val="single" w:sz="2" w:space="0" w:color="373334"/>
              <w:bottom w:val="single" w:sz="2" w:space="0" w:color="373334"/>
              <w:right w:val="single" w:sz="2" w:space="0" w:color="373334"/>
            </w:tcBorders>
          </w:tcPr>
          <w:p w14:paraId="25F68114" w14:textId="77777777" w:rsidR="00540187" w:rsidRDefault="00540187" w:rsidP="00A22D4A">
            <w:r>
              <w:rPr>
                <w:rFonts w:ascii="Arial MT" w:eastAsia="Arial MT" w:hAnsi="Arial MT" w:cs="Arial MT"/>
                <w:color w:val="373334"/>
                <w:sz w:val="10"/>
              </w:rPr>
              <w:t>&lt;3000 (&lt;3,0x10</w:t>
            </w:r>
            <w:r>
              <w:rPr>
                <w:rFonts w:ascii="Arial MT" w:eastAsia="Arial MT" w:hAnsi="Arial MT" w:cs="Arial MT"/>
                <w:color w:val="373334"/>
                <w:sz w:val="10"/>
                <w:vertAlign w:val="superscript"/>
              </w:rPr>
              <w:t>9</w:t>
            </w:r>
            <w:r>
              <w:rPr>
                <w:rFonts w:ascii="Arial MT" w:eastAsia="Arial MT" w:hAnsi="Arial MT" w:cs="Arial MT"/>
                <w:color w:val="373334"/>
                <w:sz w:val="10"/>
              </w:rPr>
              <w:t xml:space="preserve">) </w:t>
            </w:r>
          </w:p>
        </w:tc>
        <w:tc>
          <w:tcPr>
            <w:tcW w:w="1032" w:type="dxa"/>
            <w:tcBorders>
              <w:top w:val="single" w:sz="2" w:space="0" w:color="373334"/>
              <w:left w:val="single" w:sz="2" w:space="0" w:color="373334"/>
              <w:bottom w:val="single" w:sz="2" w:space="0" w:color="373334"/>
              <w:right w:val="single" w:sz="2" w:space="0" w:color="373334"/>
            </w:tcBorders>
          </w:tcPr>
          <w:p w14:paraId="7CC2AA56" w14:textId="77777777" w:rsidR="00540187" w:rsidRDefault="00540187" w:rsidP="00A22D4A">
            <w:pPr>
              <w:ind w:left="31"/>
            </w:pPr>
            <w:r>
              <w:rPr>
                <w:rFonts w:ascii="Arial MT" w:eastAsia="Arial MT" w:hAnsi="Arial MT" w:cs="Arial MT"/>
                <w:color w:val="373334"/>
                <w:sz w:val="10"/>
              </w:rPr>
              <w:t>&lt;1500 (&lt;1,5x10</w:t>
            </w:r>
            <w:r>
              <w:rPr>
                <w:rFonts w:ascii="Arial MT" w:eastAsia="Arial MT" w:hAnsi="Arial MT" w:cs="Arial MT"/>
                <w:color w:val="373334"/>
                <w:sz w:val="10"/>
                <w:vertAlign w:val="superscript"/>
              </w:rPr>
              <w:t>9</w:t>
            </w:r>
            <w:r>
              <w:rPr>
                <w:rFonts w:ascii="Arial MT" w:eastAsia="Arial MT" w:hAnsi="Arial MT" w:cs="Arial MT"/>
                <w:color w:val="373334"/>
                <w:sz w:val="10"/>
              </w:rPr>
              <w:t>)</w:t>
            </w:r>
          </w:p>
        </w:tc>
        <w:tc>
          <w:tcPr>
            <w:tcW w:w="1754" w:type="dxa"/>
            <w:tcBorders>
              <w:top w:val="single" w:sz="2" w:space="0" w:color="373334"/>
              <w:left w:val="single" w:sz="2" w:space="0" w:color="373334"/>
              <w:bottom w:val="single" w:sz="2" w:space="0" w:color="373334"/>
              <w:right w:val="single" w:sz="2" w:space="0" w:color="373334"/>
            </w:tcBorders>
          </w:tcPr>
          <w:p w14:paraId="530DAFC9" w14:textId="77777777" w:rsidR="00540187" w:rsidRDefault="00540187" w:rsidP="00A22D4A">
            <w:pPr>
              <w:ind w:left="3"/>
            </w:pPr>
            <w:r>
              <w:rPr>
                <w:rFonts w:ascii="Arial MT" w:eastAsia="Arial MT" w:hAnsi="Arial MT" w:cs="Arial MT"/>
                <w:color w:val="373334"/>
                <w:sz w:val="10"/>
              </w:rPr>
              <w:t>Interrumpir inmediatamente el tratamiento con Clozapin, análisis diario hasta que se resuelva la anormalidad hemática, controlar una posible infección. No re-exponer al paciente.</w:t>
            </w:r>
          </w:p>
        </w:tc>
      </w:tr>
    </w:tbl>
    <w:p w14:paraId="24CDCEEE" w14:textId="77777777" w:rsidR="00540187" w:rsidRDefault="00540187" w:rsidP="00540187"/>
    <w:p w14:paraId="21ECB5A3" w14:textId="77777777" w:rsidR="00540187" w:rsidRDefault="00540187" w:rsidP="00540187">
      <w:r>
        <w:t>Si se ha suspendido el tratamiento con Clozapin y se produce un descenso posterior del recuento leucocitario por debajo de 2000/mm3 (2,0x109/L) o el recuento absoluto de neutrófilos desciende por debajo de 1000/mm3 (1,0x109/L) el manejo de esta incidencia debe ser supervisado por un hematólogo experimentado.</w:t>
      </w:r>
    </w:p>
    <w:p w14:paraId="1100EF55" w14:textId="77777777" w:rsidR="00540187" w:rsidRDefault="00540187" w:rsidP="00540187">
      <w:r>
        <w:t xml:space="preserve">Interrupción del tratamiento por razones hematológicas </w:t>
      </w:r>
    </w:p>
    <w:p w14:paraId="6BEA3D6F" w14:textId="77777777" w:rsidR="00540187" w:rsidRDefault="00540187" w:rsidP="00540187">
      <w:r>
        <w:t xml:space="preserve">Los pacientes a los que se les haya interrumpido el tratamiento como resultado de alteraciones en el recuento leucocitario o en el recuento absoluto de neutrófilos (ver anterior) no deben ser re-expuestos a Clozapin. Los prescriptores deberán mantener un registro de los resultados y tomar las medidas necesarias para evitar que estos pacientes sean re-expuestos de forma inadvertida. </w:t>
      </w:r>
    </w:p>
    <w:p w14:paraId="1443B5F3" w14:textId="77777777" w:rsidR="00540187" w:rsidRDefault="00540187" w:rsidP="00540187">
      <w:r>
        <w:t>Interrupción del tratamiento por otras razones</w:t>
      </w:r>
    </w:p>
    <w:p w14:paraId="04A7F10A" w14:textId="77777777" w:rsidR="00540187" w:rsidRDefault="00540187" w:rsidP="00540187">
      <w:r>
        <w:t>A los pacientes que hayan sido tratados con Clozapin durante más de 18 semanas y que hayan interrumpido el tratamiento durante más de 3 días pero menos de 4 semanas se les debe realizar un recuento leucocitario y un recuento absoluto de neutrófilos semanalmente durante 6 semanas más. Si no se producen anormalidades hematológicas deben reanudarse los controles a intervalos no superiores a 4 semanas. Si el tratamiento con Clozapin se ha interrumpido durante 4 semanas o más, se requiere un control semanal durante las siguientes 18 semanas de tratamiento y debe reajustarse la dosis (ver Posología y Modo de Uso).</w:t>
      </w:r>
    </w:p>
    <w:p w14:paraId="39D6C43B" w14:textId="77777777" w:rsidR="00540187" w:rsidRDefault="00540187" w:rsidP="00540187">
      <w:r>
        <w:t>Otras precauciones</w:t>
      </w:r>
    </w:p>
    <w:p w14:paraId="7F32DCBA" w14:textId="77777777" w:rsidR="00540187" w:rsidRDefault="00540187" w:rsidP="00540187">
      <w:r>
        <w:t>Este medicamento contiene lactosa monohidratada.</w:t>
      </w:r>
    </w:p>
    <w:p w14:paraId="5D4ACED8" w14:textId="77777777" w:rsidR="00540187" w:rsidRDefault="00540187" w:rsidP="00540187">
      <w:r>
        <w:t>Los pacientes con problemas hereditarios raros de intolerancia a la galactosa, deficiencia de lactosa Lapp o malabsorción de glucosa-galactosa no deben tomar este medicamento.</w:t>
      </w:r>
    </w:p>
    <w:p w14:paraId="19EE174D" w14:textId="77777777" w:rsidR="00540187" w:rsidRDefault="00540187" w:rsidP="00540187"/>
    <w:p w14:paraId="5E00AEDA" w14:textId="77777777" w:rsidR="00540187" w:rsidRDefault="00540187" w:rsidP="00540187">
      <w:r>
        <w:t>Eosinofilia</w:t>
      </w:r>
    </w:p>
    <w:p w14:paraId="5B40BEC8" w14:textId="77777777" w:rsidR="00540187" w:rsidRDefault="00540187" w:rsidP="00540187">
      <w:r>
        <w:t>En el caso de que se produzca eosinofilia, se recomienda interrumpir el tratamiento si el recuento de eosinófilos aumenta por encima de 3000/mm3 (3,0x109/L); la terapia sólo debe reiniciarse si el recuento de eosinófilos disminuye por debajo de 1000/mm3 (1,0x109 /L).</w:t>
      </w:r>
    </w:p>
    <w:p w14:paraId="5DE3D379" w14:textId="77777777" w:rsidR="00540187" w:rsidRDefault="00540187" w:rsidP="00540187"/>
    <w:p w14:paraId="0834BA7A" w14:textId="77777777" w:rsidR="00540187" w:rsidRDefault="00540187" w:rsidP="00540187">
      <w:r>
        <w:t>Trombocitopenia</w:t>
      </w:r>
    </w:p>
    <w:p w14:paraId="69E294E9" w14:textId="77777777" w:rsidR="00540187" w:rsidRDefault="00540187" w:rsidP="00540187">
      <w:r>
        <w:t>En el caso de que se produzca trombocitopenia, se recomienda interrumpir el tratamiento si el recuento de plaquetas disminuye por debajo de 50000/mm3 (50x109/L).</w:t>
      </w:r>
    </w:p>
    <w:p w14:paraId="3477B07F" w14:textId="77777777" w:rsidR="00540187" w:rsidRDefault="00540187" w:rsidP="00540187"/>
    <w:p w14:paraId="6EBAC9A8" w14:textId="77777777" w:rsidR="00540187" w:rsidRDefault="00540187" w:rsidP="00540187">
      <w:r>
        <w:t>Trastornos cardiovasculares</w:t>
      </w:r>
    </w:p>
    <w:p w14:paraId="0ED723DA" w14:textId="77777777" w:rsidR="00540187" w:rsidRDefault="00540187" w:rsidP="00540187">
      <w:r>
        <w:t>Durante el tratamiento puede presentarse hipotensión ortostática, con o sin síncope.</w:t>
      </w:r>
    </w:p>
    <w:p w14:paraId="6E87125F" w14:textId="77777777" w:rsidR="00540187" w:rsidRDefault="00540187" w:rsidP="00540187">
      <w:r>
        <w:lastRenderedPageBreak/>
        <w:t>Raramente el colapso puede ser profundo y puede ir acompañado de paro cardíaco y/o  respiratorio. Esto es más probable que ocurra con el uso concomitante de una benzodiazepina u otro agente antipsicótico (ver Interacción con Medicamentos y Alimentos) y durante el ajuste inicial asociado a una escalada rápida de la dosis; en ocasiones muy raras puede ocurrir incluso tras la primera dosis. Por lo tanto, los pacientes que inician el tratamiento precisan una estrecha supervisión médica. Es necesario el control de la presión sanguínea en bipedestación y posición supina durante las primeras semanas de tratamiento en pacientes con enfermedad de Parkinson.</w:t>
      </w:r>
    </w:p>
    <w:p w14:paraId="4ED8BED9" w14:textId="77777777" w:rsidR="00540187" w:rsidRDefault="00540187" w:rsidP="00540187">
      <w:r>
        <w:t xml:space="preserve">El análisis de las bases de datos de seguridad sugieren que el uso de Clozapin está asociado con un aumento del riesgo de miocarditis especialmente (pero no sólo) durante los dos primeros meses de tratamiento. Algunos casos de miocarditis han tenido desenlace mortal. También se han comunicado casos de pericarditis, efusión pericárdica, y cardiomiopatía en asociación con el uso del medicamento, algunos de ellos con desenlace mortal según referencia bibliográfica. Debe sospecharse la presencia de miocarditis o cardiomiopatía en pacientes que desarrollen taquicardia persistente en reposo, especialmente en los dos primeros meses de tratamiento y/o palpitaciones, arritmias, dolor torácico y otros signos y síntomas de insuficiencia cardíaca (p.ej. fatiga sin causa aparente, disnea, taquipnea), o síntomas similares a los de infarto de miocardio. Otros síntomas que pueden presentarse además de los anteriores incluyen síntomas similares a la gripe. </w:t>
      </w:r>
    </w:p>
    <w:p w14:paraId="6C1E59E1" w14:textId="77777777" w:rsidR="00540187" w:rsidRDefault="00540187" w:rsidP="00540187">
      <w:r>
        <w:t>Si se sospecha la aparición de miocarditis o cardiomiopatía, el tratamiento debe interrumpirse rápidamente y remitir al paciente inmediatamente al cardiólogo. En los pacientes diagnosticados con cardiomiopatía durante el tratamiento con Clozapin, existe la posibilidad de desarrollar incapacidad de la válvula mitral. En casos de cardiomiopatía durante el tratamiento, se han notificado casos de incapacidad de dicha válvula. En estos casos se ha notificado regurgitación de la válvula mitral leve o moderada, en la ecocardiografía bidimensional (2DEcho) (ver Reacciones Adversas). Los pacientes con miocarditis o cardiomiopatía inducidas por clozapina no deben ser re-expuestos a Clozapin.</w:t>
      </w:r>
    </w:p>
    <w:p w14:paraId="636AFEC7" w14:textId="77777777" w:rsidR="00540187" w:rsidRDefault="00540187" w:rsidP="00540187"/>
    <w:p w14:paraId="1ABD03D1" w14:textId="77777777" w:rsidR="00540187" w:rsidRDefault="00540187" w:rsidP="00540187">
      <w:r>
        <w:t xml:space="preserve">Infarto de miocardio </w:t>
      </w:r>
    </w:p>
    <w:p w14:paraId="60483580" w14:textId="77777777" w:rsidR="00540187" w:rsidRDefault="00540187" w:rsidP="00540187">
      <w:r>
        <w:t>Se han descrito casos post comercialización de infarto de miocardio incluyendo casos de resultado fatal. La causa fue difícil de determinar en la mayoría de dichos casos debido a la existencia de una enfermedad cardíaca previa u otras causas plausibles. Prolongación del intervalo QT 9 de 24 Como con otros antipsicóticos, se recomienda precaución en pacientes con enfermedad cardiovascular conocida o antecedentes familiares de QT prolongado. Como con otros antipsicóticos, se deben tomar precauciones cuando se prescriba clozapina junto con medicamentos que se sabe que aumentan el intervalo Qtc.</w:t>
      </w:r>
    </w:p>
    <w:p w14:paraId="4D3961C4" w14:textId="77777777" w:rsidR="00540187" w:rsidRDefault="00540187" w:rsidP="00540187"/>
    <w:p w14:paraId="2D68761E" w14:textId="77777777" w:rsidR="00540187" w:rsidRDefault="00540187" w:rsidP="00540187">
      <w:r>
        <w:t xml:space="preserve">Reacciones adversas cardiovasculares </w:t>
      </w:r>
    </w:p>
    <w:p w14:paraId="1B88358B" w14:textId="77777777" w:rsidR="00540187" w:rsidRDefault="00540187" w:rsidP="00540187">
      <w:r>
        <w:t>En población con demencia con algunos antipsicóticos atípicos, el riesgo de reacciones adversas cerebrovasculares se ha visto incrementado aproximadamente 3 veces. El mecanismo de este incremento del riesgo no se conoce. No se puede descartar un riesgo incrementado para otros antipsicóticos o con otra población de pacientes. La clozapina debe utilizarse con precaución en pacientes con factores de riesgo de ictus.</w:t>
      </w:r>
    </w:p>
    <w:p w14:paraId="537AC466" w14:textId="77777777" w:rsidR="00540187" w:rsidRDefault="00540187" w:rsidP="00540187">
      <w:r>
        <w:t xml:space="preserve">Riesgo de tromboembolismo </w:t>
      </w:r>
    </w:p>
    <w:p w14:paraId="27CD7205" w14:textId="77777777" w:rsidR="00540187" w:rsidRDefault="00540187" w:rsidP="00540187">
      <w:r>
        <w:t>Dado que el medicamento puede estar asociado con tromboembolismo, deberá evitarse la inmovilización del paciente. Pueden darse casos de tromboembolismo venoso (TEV) con el uso de medicamentos antipsicóticos. Dado que los pacientes tratados con antipsicóticos frecuentemente presentan factores de riesgo adquiridos de TEV, antes y durante el tratamiento deben identificarse todos los riesgos potenciales de TEV y deben tomarse medidas preventivas.</w:t>
      </w:r>
    </w:p>
    <w:p w14:paraId="0F9BF20D" w14:textId="77777777" w:rsidR="00540187" w:rsidRDefault="00540187" w:rsidP="00540187"/>
    <w:p w14:paraId="6CA19418" w14:textId="77777777" w:rsidR="00540187" w:rsidRDefault="00540187" w:rsidP="00540187">
      <w:r>
        <w:t xml:space="preserve">Crisis epilépticas </w:t>
      </w:r>
    </w:p>
    <w:p w14:paraId="0DBB3F7A" w14:textId="77777777" w:rsidR="00540187" w:rsidRDefault="00540187" w:rsidP="00540187">
      <w:r>
        <w:t xml:space="preserve">Los pacientes con antecedentes de epilepsia deben ser estrechamente observados durante el tratamiento con Clozapin dado que se han comunicado casos de convulsiones relacionadas con la dosis. En tales casos, deberá </w:t>
      </w:r>
      <w:r>
        <w:lastRenderedPageBreak/>
        <w:t xml:space="preserve">reducirse la dosis (ver Posología y Modo de Uso) y, si es necesario, deberá iniciarse un tratamiento anticonvulsivante. </w:t>
      </w:r>
    </w:p>
    <w:p w14:paraId="637EEE61" w14:textId="77777777" w:rsidR="00540187" w:rsidRDefault="00540187" w:rsidP="00540187">
      <w:r>
        <w:t xml:space="preserve">Efectos anticolinérgicos </w:t>
      </w:r>
    </w:p>
    <w:p w14:paraId="178BEEE2" w14:textId="77777777" w:rsidR="00540187" w:rsidRDefault="00540187" w:rsidP="00540187">
      <w:r>
        <w:t xml:space="preserve">Clozapin posee actividad anticolinérgica, que puede producir diversos efectos indeseables en todo el cuerpo. Se recomienda una supervisión cuidadosa si el paciente presenta hipertrofia de próstata o de ángulo estrecho. Debido probablemente a sus propiedades anticolinérgicas, el medicamento se ha asociado con diversos grados de alteraciones de la peristalsis intestinal, desde estreñimiento a obstrucción intestinal, compactación fecal, íleo paralítico, megacolon e isquemia/infarto intestinal (ver Reacciones Adversas). </w:t>
      </w:r>
    </w:p>
    <w:p w14:paraId="6E58204D" w14:textId="77777777" w:rsidR="00540187" w:rsidRDefault="00540187" w:rsidP="00540187">
      <w:r>
        <w:t>En raras ocasiones estos casos han tenido un desenlace mortal. Se requiere precaución especial en pacientes que reciban medicaciones  que puedan provocar estreñimiento (especialmente aquellos con propiedades anticolinérgicas como algunos antipsicóticos, antidepresivos y\ tratamientos antiparkinsonianos), tengan antecedentes de enfermedad de colon o antecedentes de cirugía abdominal baja ya que pueden exacerbar la situación. Es de vital importancia diagnosticar y tratar adecuadamente el estreñimiento.</w:t>
      </w:r>
    </w:p>
    <w:p w14:paraId="45DC1FC3" w14:textId="77777777" w:rsidR="00540187" w:rsidRDefault="00540187" w:rsidP="00540187"/>
    <w:p w14:paraId="28BB43FF" w14:textId="77777777" w:rsidR="00540187" w:rsidRDefault="00540187" w:rsidP="00540187">
      <w:r>
        <w:t>Fiebre</w:t>
      </w:r>
    </w:p>
    <w:p w14:paraId="332C6468" w14:textId="77777777" w:rsidR="00540187" w:rsidRDefault="00540187" w:rsidP="00540187">
      <w:r>
        <w:t>Durante el tratamiento los pacientes pueden experimentar elevaciones de temperatura transitorias por encima de los 38ºC con una mayor frecuencia durante las tres primeras semanas de tratamiento. Esta fiebre es generalmente benigna. En ocasiones, puede ir asociada con un aumento o descenso del recuento leucocitario. Los pacientes con fiebre deben ser evaluados minuciosamente para descartar la posibilidad de una infección subyacente o el desarrollo de agranulocitosis. En presencia de fiebre elevada debe descartarse un síndrome neuroléptico maligno (SNM). Si se confirma el diagnóstico de SNM, debe interrumpirse el tratamiento con de forma inmediata y tomar las medidas médicas apropiadas.</w:t>
      </w:r>
    </w:p>
    <w:p w14:paraId="4914AA4B" w14:textId="77777777" w:rsidR="00540187" w:rsidRDefault="00540187" w:rsidP="00540187">
      <w:r>
        <w:t>Caídas</w:t>
      </w:r>
    </w:p>
    <w:p w14:paraId="38D5E825" w14:textId="77777777" w:rsidR="00540187" w:rsidRDefault="00540187" w:rsidP="00540187">
      <w:r>
        <w:t>Clozapin puede causar ataques epilépticos, somnolencia, hipotensión postural, inestabilidad motora y sensorial, lo que puede provocar caídas y, en consecuencia, fracturas u otras lesiones. Para los pacientes con enfermedades, afecciones o medicamentos que podrían agravar estos efectos, complete las evaluaciones de riesgo de caídas al iniciar el tratamiento antipsicótico y de forma recurrente para los pacientes que reciben terapia antipsicótica a largo plazo.</w:t>
      </w:r>
    </w:p>
    <w:p w14:paraId="0137B8AC" w14:textId="77777777" w:rsidR="00540187" w:rsidRDefault="00540187" w:rsidP="00540187">
      <w:r>
        <w:t xml:space="preserve">Alteraciones metabólicas </w:t>
      </w:r>
    </w:p>
    <w:p w14:paraId="51B4612B" w14:textId="77777777" w:rsidR="00540187" w:rsidRDefault="00540187" w:rsidP="00540187">
      <w:r>
        <w:t>Se ha asociado a los medicamentos antipsicóticos, y también a Clozapin, alteraciones metabólicas que pueden aumentar el riesgo cardiovascular y cerebrovascular. Tales cambios pueden incluir hiperglicemia, dislipemia e incremento del peso corporal. Si bien los antipsicóticos atípicos pueden producir alteraciones metabólicas, cada fármaco de la clase presenta un perfil propio característico.</w:t>
      </w:r>
    </w:p>
    <w:p w14:paraId="1000A1CA" w14:textId="77777777" w:rsidR="00540187" w:rsidRDefault="00540187" w:rsidP="00540187">
      <w:r>
        <w:t>Hiperglicemia</w:t>
      </w:r>
    </w:p>
    <w:p w14:paraId="034B884C" w14:textId="77777777" w:rsidR="00540187" w:rsidRDefault="00540187" w:rsidP="00540187">
      <w:r>
        <w:t>Durante el tratamiento con clozapina se ha comunicado, en raras ocasiones, alteración de la tolerancia a la glucosa y/o desarrollo o exacerbación de una diabetes mellitus. No se ha determinado todavía el posible mecanismo para esta posible asociación. Muy raramente se han descrito casos de hiperglucemia severa con cetoacidosis o coma hiperosmolar en pacientes sin antecedentes previos de hiperglucemia, algunos de ellos con desenlace mortal. En la mayoría de los casos en los que se disponía de datos de seguimiento, la alteración de intolerancia a la glucosa se resolvió tras la interrupción del tratamiento y la reinstauración del tratamiento con clozapina provocó una recaída. Los pacientes con diagnóstico establecido de diabetes mellitus que empiecen tratamiento con antipsicóticos atípicos deben ser controlados y su nivel de glucosa monitorizado periódicamente para detectar algún empeoramiento. Los pacientes con factores de riesgo de diabetes mellitus (por ejemplo: obesidad, antecedentes familiares de diabetes) que inician el tratamiento con antipsicóticos atípicos deben ser sometidos a la prueba de la glucosa en ayunas al inicio del tratamiento y periódicamente durante el mismo.</w:t>
      </w:r>
    </w:p>
    <w:p w14:paraId="03B86AC9" w14:textId="77777777" w:rsidR="00540187" w:rsidRDefault="00540187" w:rsidP="00540187">
      <w:r>
        <w:lastRenderedPageBreak/>
        <w:t>Los pacientes que desarrollen síntomas de hiperglicemia durante el tratamiento con antipsicóticos atípicos deben ser sometidos a la prueba de la glucosa en ayunas. En algunos casos, la hiperglucemia se resuelve cuando se interrumpe el tratamiento con el antipsicótico atípico; sin embargo, algunos pacientes pueden necesitar tratamiento con antidiabéticos incluso después de la interrupción del medicamento sospechoso. Se deberá valorar la interrupción del tratamiento en pacientes en los que haya fallado el manejo médico activo de la hiperglucemia.</w:t>
      </w:r>
    </w:p>
    <w:p w14:paraId="54E543B6" w14:textId="77777777" w:rsidR="00540187" w:rsidRDefault="00540187" w:rsidP="00540187">
      <w:r>
        <w:t>Dislipemia</w:t>
      </w:r>
    </w:p>
    <w:p w14:paraId="7A6391C5" w14:textId="77777777" w:rsidR="00540187" w:rsidRDefault="00540187" w:rsidP="00540187">
      <w:r>
        <w:t>Pueden darse alteraciones no deseadas de los niveles lipídicos en pacientes tratados con antipsicóticos atípicos, incluido Clozapin. Se recomienda la monitorización clínica de los niveles de lípidos, tanto basal como un seguimiento periódico, en pacientes tratados con clozapina.</w:t>
      </w:r>
    </w:p>
    <w:p w14:paraId="58DC1C5D" w14:textId="77777777" w:rsidR="00540187" w:rsidRDefault="00540187" w:rsidP="00540187">
      <w:r>
        <w:t>Aumento de peso</w:t>
      </w:r>
    </w:p>
    <w:p w14:paraId="0F3907E9" w14:textId="77777777" w:rsidR="00540187" w:rsidRDefault="00540187" w:rsidP="00540187">
      <w:r>
        <w:t>Pueden darse aumento del peso corporal con antipsicóticos atípicos, incluido Clozapin. Se recomienda su vigilancia clínica.</w:t>
      </w:r>
    </w:p>
    <w:p w14:paraId="19F12D3E" w14:textId="77777777" w:rsidR="00540187" w:rsidRDefault="00540187" w:rsidP="00540187">
      <w:r>
        <w:t>Efectos de retirada y rebote</w:t>
      </w:r>
    </w:p>
    <w:p w14:paraId="546174D2" w14:textId="77777777" w:rsidR="00540187" w:rsidRDefault="00540187" w:rsidP="00540187">
      <w:r>
        <w:t>Tras el cese brusco del tratamiento con clozapina, se han descrito reacciones agudas por la retirada del fármaco. Por ello, se recomienda una interrupción gradual del tratamiento. Si es necesaria una interrupción brusca (p.ej. debido a leucopenia), se deberá vigilar estrechamente al paciente en relación a la recurrencia de los síntomas psicóticos y síntomas relacionados con el efecto rebote de tipo colinérgico como sudoración excesiva, cefaleas, náuseas, vómitos y diarrea.</w:t>
      </w:r>
    </w:p>
    <w:p w14:paraId="39CB7933" w14:textId="77777777" w:rsidR="00540187" w:rsidRDefault="00540187" w:rsidP="00540187">
      <w:r>
        <w:t>Poblaciones especiales</w:t>
      </w:r>
    </w:p>
    <w:p w14:paraId="4DF57C5B" w14:textId="77777777" w:rsidR="00540187" w:rsidRDefault="00540187" w:rsidP="00540187">
      <w:r>
        <w:t>Insuficiencia hepática</w:t>
      </w:r>
    </w:p>
    <w:p w14:paraId="5DB09F4D" w14:textId="77777777" w:rsidR="00540187" w:rsidRDefault="00540187" w:rsidP="00540187">
      <w:r>
        <w:t>Los pacientes con trastornos hepáticos previos pueden recibir Clozapin si bien precisan controles periódicos de su función hepática. Las pruebas de la función hepática deben realizarse en pacientes que presenten síntomas potenciales de disfunción hepática, tales como náuseas, vómitos y/o anorexia, durante el tratamiento. Si el incremento de niveles es clínicamente relevante (más de tres veces el UNL) o si aparecen síntomas de ictericia, el tratamiento debe interrumpirse. Puede reiniciarse (ver Reinicio del tratamiento en Posología y Modo de Uso) sólo si los resultados de las pruebas de la función hepática son normales. En dicho caso, la función hepática debe monitorizarse estrechamente tras la reinstauración del tratamiento.</w:t>
      </w:r>
    </w:p>
    <w:p w14:paraId="5BDC2A8F" w14:textId="77777777" w:rsidR="00540187" w:rsidRDefault="00540187" w:rsidP="00540187">
      <w:r>
        <w:t>Pacientes de 60 años y mayores</w:t>
      </w:r>
    </w:p>
    <w:p w14:paraId="285984C5" w14:textId="77777777" w:rsidR="00540187" w:rsidRDefault="00540187" w:rsidP="00540187">
      <w:r>
        <w:t>Se recomienda iniciar el tratamiento con una dosis baja (ver Posología y Administración).</w:t>
      </w:r>
    </w:p>
    <w:p w14:paraId="0D4744B9" w14:textId="77777777" w:rsidR="00540187" w:rsidRDefault="00540187" w:rsidP="00540187">
      <w:r>
        <w:t>Durante el tratamiento puede producirse hipotensión ortostática y se han comunicado algunos casos de taquicardia en ocasiones continuada. Los pacientes de 60 años o mayores, particularmente aquéllos con función cardiovascular comprometida, pueden ser más susceptibles a estos efectos. Los pacientes de 60 años o mayores pueden ser también particularmente susceptibles a los efectos anticolinérgicos de Clozapin, tales como retención urinaria y estreñimiento.</w:t>
      </w:r>
    </w:p>
    <w:p w14:paraId="022427CE" w14:textId="77777777" w:rsidR="00540187" w:rsidRDefault="00540187" w:rsidP="00540187">
      <w:r>
        <w:t>Incremento de la mortalidad en pacientes de edad avanzada con demencia</w:t>
      </w:r>
    </w:p>
    <w:p w14:paraId="4017BEF6" w14:textId="77777777" w:rsidR="00540187" w:rsidRDefault="00540187" w:rsidP="00540187">
      <w:r>
        <w:t>Se observa que los pacientes de edad avanzada con demencia que han sido tratados con antipsicóticos tienen un pequeño riesgo de muerte comparados con los no tratados. No hay suficientes datos para poder estimar la magnitud exacta del riesgo y no se conoce la causa del riesgo aumentado. Clozapin no debe utilizarse para el tratamiento de los trastornos de la conducta asociados a demencia.</w:t>
      </w:r>
    </w:p>
    <w:p w14:paraId="6A05B4E4" w14:textId="77777777" w:rsidR="00540187" w:rsidRDefault="00540187" w:rsidP="00540187"/>
    <w:p w14:paraId="77F97148" w14:textId="77777777" w:rsidR="00540187" w:rsidRDefault="00540187" w:rsidP="00540187">
      <w:r>
        <w:t>REACCIONES ADVERSAS Y EFECTOS COLATERALES:</w:t>
      </w:r>
    </w:p>
    <w:p w14:paraId="377BCAEC" w14:textId="77777777" w:rsidR="00540187" w:rsidRDefault="00540187" w:rsidP="00540187">
      <w:r>
        <w:t xml:space="preserve">Según la bibliografía consultada, el perfil de reacciones adversas es predecible a partir de sus propiedades farmacológicas. Una excepción importante es su propensión a causar agranulocitosis (ver Precauciones y </w:t>
      </w:r>
      <w:r>
        <w:lastRenderedPageBreak/>
        <w:t>Advertencias). Debido a este riesgo, su uso se restringe a esquizofrenia resistente a tratamiento y a psicosis durante la enfermedad de Parkinson en los casos en los que haya fallado el tratamiento estándar. Mientras que el control sanguíneo es una parte esencial del cuidado de los pacientes que reciben clozapina, el médico debe conocer otras reacciones raras pero graves. Una observación cuidadosa del paciente y una adecuada anamnesis hace que estas reacciones adversas puedan ser diagnosticadas precozmente, previniendo así su morbilidad y mortalidad.</w:t>
      </w:r>
    </w:p>
    <w:p w14:paraId="23248BA4" w14:textId="77777777" w:rsidR="00540187" w:rsidRDefault="00540187" w:rsidP="00540187">
      <w:r>
        <w:t>Las reacciones adversas más graves descritas con clozapina son: agranulocitosis, crisis epilépticas, efectos cardiovasculares y fiebre (ver Precauciones y Advertencias). Las reacciones adversas más frecuentes son: somnolencia/sedación, mareos, taquicardia, estreñimiento e hipersalivación.</w:t>
      </w:r>
    </w:p>
    <w:p w14:paraId="4C0DC621" w14:textId="77777777" w:rsidR="00540187" w:rsidRDefault="00540187" w:rsidP="00540187">
      <w:r>
        <w:t xml:space="preserve">Una proporción variable de pacientes tratados con clozapina (del 7,1 al 15,6 %) interrumpieron el tratamiento debido a los efectos adversos, incluyendo sólo aquellos que puedan estar relacionados de forma razonable con clozapina. Los efectos adversos más frecuentes que dieron lugar a la interrupción fueron leucopenia, somnolencia, mareos (excluyendo vértigo) y trastornos psicóticos. </w:t>
      </w:r>
    </w:p>
    <w:p w14:paraId="4776B8A1" w14:textId="77777777" w:rsidR="00540187" w:rsidRDefault="00540187" w:rsidP="00540187">
      <w:r>
        <w:t xml:space="preserve">Trastornos de la sangre y del sistema linfático </w:t>
      </w:r>
    </w:p>
    <w:p w14:paraId="3095CDC2" w14:textId="77777777" w:rsidR="00540187" w:rsidRDefault="00540187" w:rsidP="00540187">
      <w:r>
        <w:t xml:space="preserve">El desarrollo de granulocitopenia y agranulocitosis es un riesgo inherente al tratamiento. Aunque resulta generalmente reversible al retirar el fármaco, la agranulocitosis puede provocar una sepsis y conducir a la muerte. Debido a que es necesaria la inmediata retirada del tratamiento para prevenir el desarrollo de agranulocitosis que ponga en peligro la vida, es obligada la monitorización del recuento leucocitario (ver Precauciones y Advertencias). </w:t>
      </w:r>
    </w:p>
    <w:p w14:paraId="7E035A13" w14:textId="77777777" w:rsidR="00540187" w:rsidRDefault="00540187" w:rsidP="00540187">
      <w:r>
        <w:t xml:space="preserve">La tabla resume la incidencia estimada de agranulocitosis para cada periodo de tratamiento con Clozapina </w:t>
      </w:r>
    </w:p>
    <w:p w14:paraId="61A3797F" w14:textId="4C64A899" w:rsidR="00540187" w:rsidRDefault="00540187" w:rsidP="00540187">
      <w:r>
        <w:t xml:space="preserve">Incidencia estimada de agranulocitosis </w:t>
      </w:r>
    </w:p>
    <w:tbl>
      <w:tblPr>
        <w:tblStyle w:val="TableGrid"/>
        <w:tblW w:w="4270" w:type="dxa"/>
        <w:tblInd w:w="2531" w:type="dxa"/>
        <w:tblCellMar>
          <w:top w:w="22" w:type="dxa"/>
          <w:left w:w="46" w:type="dxa"/>
          <w:bottom w:w="0" w:type="dxa"/>
          <w:right w:w="115" w:type="dxa"/>
        </w:tblCellMar>
        <w:tblLook w:val="04A0" w:firstRow="1" w:lastRow="0" w:firstColumn="1" w:lastColumn="0" w:noHBand="0" w:noVBand="1"/>
      </w:tblPr>
      <w:tblGrid>
        <w:gridCol w:w="1719"/>
        <w:gridCol w:w="2551"/>
      </w:tblGrid>
      <w:tr w:rsidR="004939BA" w:rsidRPr="00954A85" w14:paraId="361B2C80" w14:textId="77777777" w:rsidTr="00A22D4A">
        <w:trPr>
          <w:trHeight w:val="238"/>
        </w:trPr>
        <w:tc>
          <w:tcPr>
            <w:tcW w:w="1719" w:type="dxa"/>
            <w:tcBorders>
              <w:top w:val="single" w:sz="2" w:space="0" w:color="373334"/>
              <w:left w:val="single" w:sz="2" w:space="0" w:color="373334"/>
              <w:bottom w:val="single" w:sz="2" w:space="0" w:color="373334"/>
              <w:right w:val="single" w:sz="2" w:space="0" w:color="373334"/>
            </w:tcBorders>
          </w:tcPr>
          <w:p w14:paraId="732C77ED" w14:textId="77777777" w:rsidR="004939BA" w:rsidRPr="00954A85" w:rsidRDefault="004939BA" w:rsidP="00A22D4A">
            <w:pPr>
              <w:rPr>
                <w:sz w:val="12"/>
                <w:szCs w:val="12"/>
              </w:rPr>
            </w:pPr>
            <w:r w:rsidRPr="00954A85">
              <w:rPr>
                <w:rFonts w:ascii="Arial MT" w:eastAsia="Arial MT" w:hAnsi="Arial MT" w:cs="Arial MT"/>
                <w:color w:val="373334"/>
                <w:sz w:val="12"/>
                <w:szCs w:val="12"/>
              </w:rPr>
              <w:t>Periodo de tratamiento</w:t>
            </w:r>
          </w:p>
        </w:tc>
        <w:tc>
          <w:tcPr>
            <w:tcW w:w="2551" w:type="dxa"/>
            <w:tcBorders>
              <w:top w:val="single" w:sz="2" w:space="0" w:color="373334"/>
              <w:left w:val="single" w:sz="2" w:space="0" w:color="373334"/>
              <w:bottom w:val="single" w:sz="2" w:space="0" w:color="373334"/>
              <w:right w:val="single" w:sz="2" w:space="0" w:color="373334"/>
            </w:tcBorders>
          </w:tcPr>
          <w:p w14:paraId="0C01A4C7" w14:textId="77777777" w:rsidR="004939BA" w:rsidRPr="00954A85" w:rsidRDefault="004939BA" w:rsidP="00A22D4A">
            <w:pPr>
              <w:rPr>
                <w:sz w:val="12"/>
                <w:szCs w:val="12"/>
              </w:rPr>
            </w:pPr>
            <w:r w:rsidRPr="00954A85">
              <w:rPr>
                <w:rFonts w:ascii="Arial MT" w:eastAsia="Arial MT" w:hAnsi="Arial MT" w:cs="Arial MT"/>
                <w:color w:val="373334"/>
                <w:sz w:val="12"/>
                <w:szCs w:val="12"/>
              </w:rPr>
              <w:t xml:space="preserve">Incidencia de agranulocitosis por 100.000 personas semana de observación </w:t>
            </w:r>
          </w:p>
        </w:tc>
      </w:tr>
      <w:tr w:rsidR="004939BA" w:rsidRPr="00954A85" w14:paraId="42BBF724" w14:textId="77777777" w:rsidTr="00A22D4A">
        <w:trPr>
          <w:trHeight w:val="122"/>
        </w:trPr>
        <w:tc>
          <w:tcPr>
            <w:tcW w:w="1719" w:type="dxa"/>
            <w:tcBorders>
              <w:top w:val="single" w:sz="2" w:space="0" w:color="373334"/>
              <w:left w:val="single" w:sz="2" w:space="0" w:color="373334"/>
              <w:bottom w:val="single" w:sz="2" w:space="0" w:color="373334"/>
              <w:right w:val="single" w:sz="2" w:space="0" w:color="373334"/>
            </w:tcBorders>
          </w:tcPr>
          <w:p w14:paraId="4B870BE8" w14:textId="77777777" w:rsidR="004939BA" w:rsidRPr="00954A85" w:rsidRDefault="004939BA" w:rsidP="00A22D4A">
            <w:pPr>
              <w:rPr>
                <w:sz w:val="12"/>
                <w:szCs w:val="12"/>
              </w:rPr>
            </w:pPr>
            <w:r w:rsidRPr="00954A85">
              <w:rPr>
                <w:rFonts w:ascii="Arial MT" w:eastAsia="Arial MT" w:hAnsi="Arial MT" w:cs="Arial MT"/>
                <w:color w:val="373334"/>
                <w:sz w:val="12"/>
                <w:szCs w:val="12"/>
              </w:rPr>
              <w:t>Semana 0-18</w:t>
            </w:r>
          </w:p>
        </w:tc>
        <w:tc>
          <w:tcPr>
            <w:tcW w:w="2551" w:type="dxa"/>
            <w:tcBorders>
              <w:top w:val="single" w:sz="2" w:space="0" w:color="373334"/>
              <w:left w:val="single" w:sz="2" w:space="0" w:color="373334"/>
              <w:bottom w:val="single" w:sz="2" w:space="0" w:color="373334"/>
              <w:right w:val="single" w:sz="2" w:space="0" w:color="373334"/>
            </w:tcBorders>
          </w:tcPr>
          <w:p w14:paraId="16E0A238" w14:textId="77777777" w:rsidR="004939BA" w:rsidRPr="00954A85" w:rsidRDefault="004939BA" w:rsidP="00A22D4A">
            <w:pPr>
              <w:rPr>
                <w:sz w:val="12"/>
                <w:szCs w:val="12"/>
              </w:rPr>
            </w:pPr>
            <w:r w:rsidRPr="00954A85">
              <w:rPr>
                <w:rFonts w:ascii="Arial MT" w:eastAsia="Arial MT" w:hAnsi="Arial MT" w:cs="Arial MT"/>
                <w:color w:val="373334"/>
                <w:sz w:val="12"/>
                <w:szCs w:val="12"/>
              </w:rPr>
              <w:t>32,0</w:t>
            </w:r>
          </w:p>
        </w:tc>
      </w:tr>
      <w:tr w:rsidR="004939BA" w:rsidRPr="00954A85" w14:paraId="0B05431A" w14:textId="77777777" w:rsidTr="00A22D4A">
        <w:trPr>
          <w:trHeight w:val="121"/>
        </w:trPr>
        <w:tc>
          <w:tcPr>
            <w:tcW w:w="1719" w:type="dxa"/>
            <w:tcBorders>
              <w:top w:val="single" w:sz="2" w:space="0" w:color="373334"/>
              <w:left w:val="single" w:sz="2" w:space="0" w:color="373334"/>
              <w:bottom w:val="single" w:sz="2" w:space="0" w:color="373334"/>
              <w:right w:val="single" w:sz="2" w:space="0" w:color="373334"/>
            </w:tcBorders>
          </w:tcPr>
          <w:p w14:paraId="4004EDC7" w14:textId="77777777" w:rsidR="004939BA" w:rsidRPr="00954A85" w:rsidRDefault="004939BA" w:rsidP="00A22D4A">
            <w:pPr>
              <w:rPr>
                <w:sz w:val="12"/>
                <w:szCs w:val="12"/>
              </w:rPr>
            </w:pPr>
            <w:r w:rsidRPr="00954A85">
              <w:rPr>
                <w:rFonts w:ascii="Arial MT" w:eastAsia="Arial MT" w:hAnsi="Arial MT" w:cs="Arial MT"/>
                <w:color w:val="373334"/>
                <w:sz w:val="12"/>
                <w:szCs w:val="12"/>
              </w:rPr>
              <w:t>Semana 19-52</w:t>
            </w:r>
          </w:p>
        </w:tc>
        <w:tc>
          <w:tcPr>
            <w:tcW w:w="2551" w:type="dxa"/>
            <w:tcBorders>
              <w:top w:val="single" w:sz="2" w:space="0" w:color="373334"/>
              <w:left w:val="single" w:sz="2" w:space="0" w:color="373334"/>
              <w:bottom w:val="single" w:sz="2" w:space="0" w:color="373334"/>
              <w:right w:val="single" w:sz="2" w:space="0" w:color="373334"/>
            </w:tcBorders>
          </w:tcPr>
          <w:p w14:paraId="1822D2FF" w14:textId="77777777" w:rsidR="004939BA" w:rsidRPr="00954A85" w:rsidRDefault="004939BA" w:rsidP="00A22D4A">
            <w:pPr>
              <w:rPr>
                <w:sz w:val="12"/>
                <w:szCs w:val="12"/>
              </w:rPr>
            </w:pPr>
            <w:r w:rsidRPr="00954A85">
              <w:rPr>
                <w:rFonts w:ascii="Arial MT" w:eastAsia="Arial MT" w:hAnsi="Arial MT" w:cs="Arial MT"/>
                <w:color w:val="373334"/>
                <w:sz w:val="12"/>
                <w:szCs w:val="12"/>
              </w:rPr>
              <w:t>2,3</w:t>
            </w:r>
          </w:p>
        </w:tc>
      </w:tr>
      <w:tr w:rsidR="004939BA" w:rsidRPr="00954A85" w14:paraId="018390B9" w14:textId="77777777" w:rsidTr="00A22D4A">
        <w:trPr>
          <w:trHeight w:val="121"/>
        </w:trPr>
        <w:tc>
          <w:tcPr>
            <w:tcW w:w="1719" w:type="dxa"/>
            <w:tcBorders>
              <w:top w:val="single" w:sz="2" w:space="0" w:color="373334"/>
              <w:left w:val="single" w:sz="2" w:space="0" w:color="373334"/>
              <w:bottom w:val="single" w:sz="2" w:space="0" w:color="373334"/>
              <w:right w:val="single" w:sz="2" w:space="0" w:color="373334"/>
            </w:tcBorders>
          </w:tcPr>
          <w:p w14:paraId="63EBF457" w14:textId="77777777" w:rsidR="004939BA" w:rsidRPr="00954A85" w:rsidRDefault="004939BA" w:rsidP="00A22D4A">
            <w:pPr>
              <w:rPr>
                <w:sz w:val="12"/>
                <w:szCs w:val="12"/>
              </w:rPr>
            </w:pPr>
            <w:r w:rsidRPr="00954A85">
              <w:rPr>
                <w:rFonts w:ascii="Arial MT" w:eastAsia="Arial MT" w:hAnsi="Arial MT" w:cs="Arial MT"/>
                <w:color w:val="373334"/>
                <w:sz w:val="12"/>
                <w:szCs w:val="12"/>
              </w:rPr>
              <w:t>Semana 53 y en adelante</w:t>
            </w:r>
          </w:p>
        </w:tc>
        <w:tc>
          <w:tcPr>
            <w:tcW w:w="2551" w:type="dxa"/>
            <w:tcBorders>
              <w:top w:val="single" w:sz="2" w:space="0" w:color="373334"/>
              <w:left w:val="single" w:sz="2" w:space="0" w:color="373334"/>
              <w:bottom w:val="single" w:sz="2" w:space="0" w:color="373334"/>
              <w:right w:val="single" w:sz="2" w:space="0" w:color="373334"/>
            </w:tcBorders>
          </w:tcPr>
          <w:p w14:paraId="6E099AC6" w14:textId="77777777" w:rsidR="004939BA" w:rsidRPr="00954A85" w:rsidRDefault="004939BA" w:rsidP="00A22D4A">
            <w:pPr>
              <w:rPr>
                <w:sz w:val="12"/>
                <w:szCs w:val="12"/>
              </w:rPr>
            </w:pPr>
            <w:r w:rsidRPr="00954A85">
              <w:rPr>
                <w:rFonts w:ascii="Arial MT" w:eastAsia="Arial MT" w:hAnsi="Arial MT" w:cs="Arial MT"/>
                <w:color w:val="373334"/>
                <w:sz w:val="12"/>
                <w:szCs w:val="12"/>
              </w:rPr>
              <w:t>1,8</w:t>
            </w:r>
          </w:p>
        </w:tc>
      </w:tr>
    </w:tbl>
    <w:p w14:paraId="4CA4E54D" w14:textId="77777777" w:rsidR="004939BA" w:rsidRDefault="004939BA" w:rsidP="00540187"/>
    <w:p w14:paraId="62CC2995" w14:textId="77777777" w:rsidR="00540187" w:rsidRDefault="00540187" w:rsidP="00540187">
      <w:r>
        <w:t xml:space="preserve">La mayoría de los casos de agranulocitosis (aproximadamente el 70%) ocurren durante las primeras 18 semanas de tratamiento. </w:t>
      </w:r>
    </w:p>
    <w:p w14:paraId="4D642EB1" w14:textId="77777777" w:rsidR="00540187" w:rsidRDefault="00540187" w:rsidP="00540187">
      <w:r>
        <w:t xml:space="preserve">Trastornos del metabolismo y de la nutrición </w:t>
      </w:r>
    </w:p>
    <w:p w14:paraId="176015EB" w14:textId="77777777" w:rsidR="00540187" w:rsidRDefault="00540187" w:rsidP="00540187">
      <w:r>
        <w:t xml:space="preserve">Raramente se ha comunicado alteración de la tolerancia a la glucosa y/o desarrollo o exacerbación de diabetes mellitus durante el tratamiento con clozapina. En muy raras ocasiones, se ha comunicado hiperglucemia severa, provocando algunas veces cetoacidosis/coma hiperosmolar, en pacientes tratados sin antecedentes previos de hiperglucemia. Los niveles de glucosa se normalizan en la mayoría de los pacientes tras la interrupción del tratamiento y en algunos casos reapareció la hiperglucemia al reiniciar el tratamiento. Aunque la mayoría de los pacientes presentaban factores de riesgo de diabetes mellitus no insulina dependientes, se han documentado también casos en pacientes sin factores de riesgo conocidos (ver Precauciones y Advertencias). </w:t>
      </w:r>
    </w:p>
    <w:p w14:paraId="5C359523" w14:textId="77777777" w:rsidR="00540187" w:rsidRDefault="00540187" w:rsidP="00540187">
      <w:r>
        <w:t xml:space="preserve">Trastornos del sistema nervioso </w:t>
      </w:r>
    </w:p>
    <w:p w14:paraId="0EA74579" w14:textId="77777777" w:rsidR="00540187" w:rsidRDefault="00540187" w:rsidP="00540187">
      <w:r>
        <w:t xml:space="preserve">Los efectos adversos más frecuentes incluyen somnolencia/sedación y mareos. </w:t>
      </w:r>
    </w:p>
    <w:p w14:paraId="4220D9B2" w14:textId="77777777" w:rsidR="00540187" w:rsidRDefault="00540187" w:rsidP="00540187">
      <w:r>
        <w:t xml:space="preserve">También puede producir cambios en el EEG, incluyendo la aparición de picos y ondas complejas. Disminuye el umbral convulsivo de forma dosis dependiente y puede provocar espasmos mioclónicos o convulsiones generalizadas. Es más probable que estos síntomas aparezcan con el incremento rápido de la dosis y en los pacientes con epilepsia pre-existente. En caso de que aparezcan, debe reducirse la dosis y, si es necesario, iniciar un tratamiento anticonvulsivante. Debe evitarse el uso de carbamazepina debido a su potencial para deprimir la función de la médula ósea y tener en cuenta la posibilidad de interacción farmacocinética con otros anticonvulsivantes. En casos raros, pacientes pueden sufrir delirio. </w:t>
      </w:r>
    </w:p>
    <w:p w14:paraId="014C57FC" w14:textId="77777777" w:rsidR="00540187" w:rsidRDefault="00540187" w:rsidP="00540187">
      <w:r>
        <w:t xml:space="preserve">Muy raramente se han descrito casos de discinesia tardía en pacientes que habían sido tratados con otros fármacos antipsicóticos. </w:t>
      </w:r>
    </w:p>
    <w:p w14:paraId="68D81B9C" w14:textId="77777777" w:rsidR="00540187" w:rsidRDefault="00540187" w:rsidP="00540187">
      <w:r>
        <w:t xml:space="preserve">Trastornos cardiacos </w:t>
      </w:r>
    </w:p>
    <w:p w14:paraId="45A8314D" w14:textId="77777777" w:rsidR="00540187" w:rsidRDefault="00540187" w:rsidP="00540187">
      <w:r>
        <w:lastRenderedPageBreak/>
        <w:t xml:space="preserve">Puede presentarse taquicardia e hipotensión ortostática con o sin síncope, especialmente en las primeras semanas de tratamiento. La prevalencia y la severidad de la hipotensión están influidas por la tasa y la magnitud de la titulación de la dosis. Se han comunicado casos de colapso circulatorio como resultado de la hipotensión profunda, en particular relacionado con una titulación agresiva, con posibles complicaciones graves de paro cardíaco o respiratorio. </w:t>
      </w:r>
    </w:p>
    <w:p w14:paraId="60781F0D" w14:textId="77777777" w:rsidR="00540187" w:rsidRDefault="00540187" w:rsidP="00540187">
      <w:r>
        <w:t xml:space="preserve">Se ha comunicado que una minoría de los pacientes experimentó cambios en el ECG similares a los observados con otros antipsicóticos, incluyendo depresión del segmento S-T y aplanamiento o inversión de las ondas T, que se normaliza tras la interrupción del tratamiento. La significación clínica de estos cambios no está clara. Sin embargo, debe tenerse presente que estas anormalidades se han observado en pacientes con miocarditis. </w:t>
      </w:r>
    </w:p>
    <w:p w14:paraId="7B4C2BE2" w14:textId="77777777" w:rsidR="00540187" w:rsidRDefault="00540187" w:rsidP="00540187">
      <w:r>
        <w:t xml:space="preserve">Se han observado casos aislados de arritmias cardíacas, pericarditis/efusión pericárdica y miocarditis, algunos de ellos con desenlace mortal. La mayoría de los casos de miocarditis ocurrieron durante los dos primeros meses de tratamiento. Los casos de cardiomiopatía aparecieron generalmente en fases más tardías de tratamiento. </w:t>
      </w:r>
    </w:p>
    <w:p w14:paraId="343C681A" w14:textId="77777777" w:rsidR="00540187" w:rsidRDefault="00540187" w:rsidP="00540187">
      <w:r>
        <w:t xml:space="preserve">En algunos casos de miocarditis (aproximadamente 14%) y de pericarditis/efusión pericárdica se comunicó también eosinofilia; sin embargo, se desconoce si la eosinofilia puede predecir de forma fiable la aparición de carditis. </w:t>
      </w:r>
    </w:p>
    <w:p w14:paraId="0C726F9C" w14:textId="77777777" w:rsidR="00540187" w:rsidRDefault="00540187" w:rsidP="00540187">
      <w:r>
        <w:t xml:space="preserve">Los signos y síntomas de miocarditis o cardiomiopatía incluyen taquicardia persistente en reposo, palpitaciones, arritmias, dolor torácico y otros signos y síntomas de insuficiencia cardíaca (tales como fatiga sin causa aparente, disnea, taquipnea), o síntomas similares a los de infarto de miocardio. Otros síntomas que pueden presentarse además de los anteriores incluyen síntomas similares a la gripe. </w:t>
      </w:r>
    </w:p>
    <w:p w14:paraId="1D307610" w14:textId="77777777" w:rsidR="00540187" w:rsidRDefault="00540187" w:rsidP="00540187">
      <w:r>
        <w:t xml:space="preserve">Muertes súbitas y no explicables ocurren entre pacientes psiquiátricos que reciben medicación convencional antipsicótica y también en pacientes psiquiátricos no tratados. Tales muertes se han comunicado muy raramente en pacientes en tratamiento con Clozapina </w:t>
      </w:r>
    </w:p>
    <w:p w14:paraId="672DF4BD" w14:textId="77777777" w:rsidR="00540187" w:rsidRDefault="00540187" w:rsidP="00540187">
      <w:r>
        <w:t xml:space="preserve">Trastornos vasculares </w:t>
      </w:r>
    </w:p>
    <w:p w14:paraId="6912E7F3" w14:textId="77777777" w:rsidR="00540187" w:rsidRDefault="00540187" w:rsidP="00540187">
      <w:r>
        <w:t xml:space="preserve">Raramente se han descrito casos raros de tromboembolismo. </w:t>
      </w:r>
    </w:p>
    <w:p w14:paraId="155947B2" w14:textId="77777777" w:rsidR="00540187" w:rsidRDefault="00540187" w:rsidP="00540187">
      <w:r>
        <w:t xml:space="preserve">Trastornos respiratorios, torácicos y mediastínicos </w:t>
      </w:r>
    </w:p>
    <w:p w14:paraId="1D203927" w14:textId="77777777" w:rsidR="00540187" w:rsidRDefault="00540187" w:rsidP="00540187">
      <w:r>
        <w:t xml:space="preserve">Muy raramente, se ha producido depresión o paro respiratorio con o sin colapso circulatorio (ver Precauciones y Advertencias e Interacción con Medicamentos y Alimentos). </w:t>
      </w:r>
    </w:p>
    <w:p w14:paraId="783D5D90" w14:textId="77777777" w:rsidR="00540187" w:rsidRDefault="00540187" w:rsidP="00540187">
      <w:r>
        <w:t xml:space="preserve">Trastornos gastrointestinales </w:t>
      </w:r>
    </w:p>
    <w:p w14:paraId="653B59B1" w14:textId="77777777" w:rsidR="00540187" w:rsidRDefault="00540187" w:rsidP="00540187">
      <w:r>
        <w:t>Muy frecuentemente estreñimiento e hipersalivación y frecuentemente náuseas y vómitos. Muy raramente puede producirse íleo paralítico (ver Precauciones y Advertencias). En raras ocasiones, se ha asociado el tratamiento con disfagia. Puede producirse aspiración de alimentos ingeridos en pacientes que presenten disfagia o como consecuencia de una sobredosis aguda.</w:t>
      </w:r>
    </w:p>
    <w:p w14:paraId="30ECC939" w14:textId="77777777" w:rsidR="00540187" w:rsidRDefault="00540187" w:rsidP="00540187">
      <w:r>
        <w:t xml:space="preserve">Trastornos hepatobiliares </w:t>
      </w:r>
    </w:p>
    <w:p w14:paraId="06F05518" w14:textId="77777777" w:rsidR="00540187" w:rsidRDefault="00540187" w:rsidP="00540187">
      <w:r>
        <w:t xml:space="preserve">Pueden producirse elevaciones de los enzimas hepáticos transitorias y asintomáticas y raramente hepatitis e ictericia colestásica. Muy raramente necrosis hepática fulminante. Si se desarrolla ictericia, debe interrumpirse el tratamiento (ver Precauciones y Advertencias). En casos raros, se ha comunicado pancreatitis aguda. </w:t>
      </w:r>
    </w:p>
    <w:p w14:paraId="4CFD34D6" w14:textId="77777777" w:rsidR="00540187" w:rsidRDefault="00540187" w:rsidP="00540187">
      <w:r>
        <w:t xml:space="preserve">Trastornos renales y urinarios </w:t>
      </w:r>
    </w:p>
    <w:p w14:paraId="28E0DBA5" w14:textId="77777777" w:rsidR="00540187" w:rsidRDefault="00540187" w:rsidP="00540187">
      <w:r>
        <w:t xml:space="preserve">Se han comunicado casos aislados de nefritis intersticial aguda asociada al tratamiento con Clozapina. </w:t>
      </w:r>
    </w:p>
    <w:p w14:paraId="555723FA" w14:textId="77777777" w:rsidR="00540187" w:rsidRDefault="00540187" w:rsidP="00540187">
      <w:r>
        <w:t xml:space="preserve">Trastornos del aparato reproductor y de la mama </w:t>
      </w:r>
    </w:p>
    <w:p w14:paraId="0B0C2243" w14:textId="77777777" w:rsidR="00540187" w:rsidRDefault="00540187" w:rsidP="00540187">
      <w:r>
        <w:t xml:space="preserve">Se han recibido casos muy raros de priapismo. </w:t>
      </w:r>
    </w:p>
    <w:p w14:paraId="6B8B2227" w14:textId="77777777" w:rsidR="00540187" w:rsidRDefault="00540187" w:rsidP="00540187">
      <w:r>
        <w:t xml:space="preserve">Trastornos generales y alteraciones en el lugar de la administración </w:t>
      </w:r>
    </w:p>
    <w:p w14:paraId="53AA2CC0" w14:textId="77777777" w:rsidR="00540187" w:rsidRDefault="00540187" w:rsidP="00540187">
      <w:r>
        <w:t xml:space="preserve">Se han comunicado casos de síndrome neuroléptico maligno (SNM) en pacientes en tratamiento con Clozapina sóla o en combinación con litio u otros fármacos activos sobre el SNC. </w:t>
      </w:r>
    </w:p>
    <w:p w14:paraId="4283A1E2" w14:textId="77777777" w:rsidR="00540187" w:rsidRDefault="00540187" w:rsidP="00540187">
      <w:r>
        <w:lastRenderedPageBreak/>
        <w:t xml:space="preserve">Se han descrito reacciones agudas por retirada (ver Precauciones y Advertencias). </w:t>
      </w:r>
    </w:p>
    <w:p w14:paraId="4EE636AA" w14:textId="77777777" w:rsidR="00540187" w:rsidRDefault="00540187" w:rsidP="00540187">
      <w:r>
        <w:t>Resumen de las reacciones adversas</w:t>
      </w:r>
    </w:p>
    <w:p w14:paraId="70CBF03F" w14:textId="54381636" w:rsidR="00540187" w:rsidRDefault="00540187" w:rsidP="00540187">
      <w:r>
        <w:t>Las reacciones adversas están clasificadas bajo títulos de frecuencia, utilizando la siguiente convención: Muy frecuentes (&gt;1/10), frecuentes (&gt;1/10 a, &lt;1/10), poco frecuentes (&gt;1/1.000 a &lt;1/100), raras (&gt;1/10.000 a &lt;1/1.000), muy raras (&lt;1/10.000), frecuencia no conocida (no puede estimarse a partir de los datos disponibles).</w:t>
      </w:r>
    </w:p>
    <w:tbl>
      <w:tblPr>
        <w:tblStyle w:val="TableGrid"/>
        <w:tblW w:w="3963" w:type="dxa"/>
        <w:tblInd w:w="2530" w:type="dxa"/>
        <w:tblCellMar>
          <w:top w:w="19" w:type="dxa"/>
          <w:left w:w="38" w:type="dxa"/>
          <w:bottom w:w="0" w:type="dxa"/>
          <w:right w:w="15" w:type="dxa"/>
        </w:tblCellMar>
        <w:tblLook w:val="04A0" w:firstRow="1" w:lastRow="0" w:firstColumn="1" w:lastColumn="0" w:noHBand="0" w:noVBand="1"/>
      </w:tblPr>
      <w:tblGrid>
        <w:gridCol w:w="1875"/>
        <w:gridCol w:w="2088"/>
      </w:tblGrid>
      <w:tr w:rsidR="004939BA" w14:paraId="74F5170C" w14:textId="77777777" w:rsidTr="00A22D4A">
        <w:trPr>
          <w:trHeight w:val="109"/>
        </w:trPr>
        <w:tc>
          <w:tcPr>
            <w:tcW w:w="3963" w:type="dxa"/>
            <w:gridSpan w:val="2"/>
            <w:tcBorders>
              <w:top w:val="single" w:sz="2" w:space="0" w:color="373334"/>
              <w:left w:val="single" w:sz="3" w:space="0" w:color="373334"/>
              <w:bottom w:val="single" w:sz="2" w:space="0" w:color="373334"/>
              <w:right w:val="single" w:sz="2" w:space="0" w:color="373334"/>
            </w:tcBorders>
          </w:tcPr>
          <w:p w14:paraId="03DA9E3C" w14:textId="77777777" w:rsidR="004939BA" w:rsidRDefault="004939BA" w:rsidP="00A22D4A">
            <w:pPr>
              <w:ind w:left="6"/>
            </w:pPr>
            <w:r>
              <w:rPr>
                <w:rFonts w:ascii="Arial MT" w:eastAsia="Arial MT" w:hAnsi="Arial MT" w:cs="Arial MT"/>
                <w:b/>
                <w:color w:val="373334"/>
                <w:sz w:val="9"/>
              </w:rPr>
              <w:t xml:space="preserve">Infecciones e infestaciones </w:t>
            </w:r>
          </w:p>
        </w:tc>
      </w:tr>
      <w:tr w:rsidR="004939BA" w14:paraId="05F54F4F" w14:textId="77777777" w:rsidTr="00A22D4A">
        <w:trPr>
          <w:trHeight w:val="110"/>
        </w:trPr>
        <w:tc>
          <w:tcPr>
            <w:tcW w:w="1875" w:type="dxa"/>
            <w:tcBorders>
              <w:top w:val="single" w:sz="2" w:space="0" w:color="373334"/>
              <w:left w:val="single" w:sz="3" w:space="0" w:color="373334"/>
              <w:bottom w:val="single" w:sz="2" w:space="0" w:color="373334"/>
              <w:right w:val="single" w:sz="2" w:space="0" w:color="373334"/>
            </w:tcBorders>
          </w:tcPr>
          <w:p w14:paraId="79820A7C" w14:textId="77777777" w:rsidR="004939BA" w:rsidRDefault="004939BA" w:rsidP="00A22D4A">
            <w:pPr>
              <w:ind w:left="6"/>
            </w:pPr>
            <w:r>
              <w:rPr>
                <w:rFonts w:ascii="Arial MT" w:eastAsia="Arial MT" w:hAnsi="Arial MT" w:cs="Arial MT"/>
                <w:color w:val="373334"/>
                <w:sz w:val="9"/>
              </w:rPr>
              <w:t xml:space="preserve">No conocidas </w:t>
            </w:r>
          </w:p>
        </w:tc>
        <w:tc>
          <w:tcPr>
            <w:tcW w:w="2088" w:type="dxa"/>
            <w:tcBorders>
              <w:top w:val="single" w:sz="2" w:space="0" w:color="373334"/>
              <w:left w:val="single" w:sz="2" w:space="0" w:color="373334"/>
              <w:bottom w:val="single" w:sz="2" w:space="0" w:color="373334"/>
              <w:right w:val="single" w:sz="2" w:space="0" w:color="373334"/>
            </w:tcBorders>
          </w:tcPr>
          <w:p w14:paraId="0CD9433E" w14:textId="77777777" w:rsidR="004939BA" w:rsidRDefault="004939BA" w:rsidP="00A22D4A">
            <w:pPr>
              <w:ind w:left="7"/>
            </w:pPr>
            <w:r>
              <w:rPr>
                <w:rFonts w:ascii="Arial MT" w:eastAsia="Arial MT" w:hAnsi="Arial MT" w:cs="Arial MT"/>
                <w:color w:val="373334"/>
                <w:sz w:val="9"/>
              </w:rPr>
              <w:t xml:space="preserve">Sepsis </w:t>
            </w:r>
          </w:p>
        </w:tc>
      </w:tr>
      <w:tr w:rsidR="004939BA" w14:paraId="514DDA2F" w14:textId="77777777" w:rsidTr="00A22D4A">
        <w:trPr>
          <w:trHeight w:val="109"/>
        </w:trPr>
        <w:tc>
          <w:tcPr>
            <w:tcW w:w="3963" w:type="dxa"/>
            <w:gridSpan w:val="2"/>
            <w:tcBorders>
              <w:top w:val="single" w:sz="2" w:space="0" w:color="373334"/>
              <w:left w:val="single" w:sz="3" w:space="0" w:color="373334"/>
              <w:bottom w:val="single" w:sz="2" w:space="0" w:color="373334"/>
              <w:right w:val="single" w:sz="2" w:space="0" w:color="373334"/>
            </w:tcBorders>
          </w:tcPr>
          <w:p w14:paraId="2EF03C81" w14:textId="77777777" w:rsidR="004939BA" w:rsidRDefault="004939BA" w:rsidP="00A22D4A">
            <w:pPr>
              <w:ind w:left="6"/>
            </w:pPr>
            <w:r>
              <w:rPr>
                <w:rFonts w:ascii="Arial MT" w:eastAsia="Arial MT" w:hAnsi="Arial MT" w:cs="Arial MT"/>
                <w:b/>
                <w:color w:val="373334"/>
                <w:sz w:val="9"/>
              </w:rPr>
              <w:t>Trastornos de la sangre y sistema linfático</w:t>
            </w:r>
          </w:p>
        </w:tc>
      </w:tr>
      <w:tr w:rsidR="004939BA" w14:paraId="34AF4982" w14:textId="77777777" w:rsidTr="00A22D4A">
        <w:trPr>
          <w:trHeight w:val="214"/>
        </w:trPr>
        <w:tc>
          <w:tcPr>
            <w:tcW w:w="1875" w:type="dxa"/>
            <w:tcBorders>
              <w:top w:val="single" w:sz="2" w:space="0" w:color="373334"/>
              <w:left w:val="single" w:sz="3" w:space="0" w:color="373334"/>
              <w:bottom w:val="single" w:sz="2" w:space="0" w:color="373334"/>
              <w:right w:val="single" w:sz="2" w:space="0" w:color="373334"/>
            </w:tcBorders>
          </w:tcPr>
          <w:p w14:paraId="32B81531" w14:textId="77777777" w:rsidR="004939BA" w:rsidRDefault="004939BA" w:rsidP="00A22D4A">
            <w:pPr>
              <w:ind w:left="6"/>
            </w:pPr>
            <w:r>
              <w:rPr>
                <w:rFonts w:ascii="Arial MT" w:eastAsia="Arial MT" w:hAnsi="Arial MT" w:cs="Arial MT"/>
                <w:color w:val="373334"/>
                <w:sz w:val="9"/>
              </w:rPr>
              <w:t>Frecuentes</w:t>
            </w:r>
          </w:p>
        </w:tc>
        <w:tc>
          <w:tcPr>
            <w:tcW w:w="2088" w:type="dxa"/>
            <w:tcBorders>
              <w:top w:val="single" w:sz="2" w:space="0" w:color="373334"/>
              <w:left w:val="single" w:sz="2" w:space="0" w:color="373334"/>
              <w:bottom w:val="single" w:sz="2" w:space="0" w:color="373334"/>
              <w:right w:val="single" w:sz="2" w:space="0" w:color="373334"/>
            </w:tcBorders>
          </w:tcPr>
          <w:p w14:paraId="5B11C3A7" w14:textId="77777777" w:rsidR="004939BA" w:rsidRDefault="004939BA" w:rsidP="00A22D4A">
            <w:pPr>
              <w:ind w:left="7"/>
            </w:pPr>
            <w:r>
              <w:rPr>
                <w:rFonts w:ascii="Arial MT" w:eastAsia="Arial MT" w:hAnsi="Arial MT" w:cs="Arial MT"/>
                <w:color w:val="373334"/>
                <w:sz w:val="9"/>
              </w:rPr>
              <w:t xml:space="preserve">Leucopenia/disminución del recuento </w:t>
            </w:r>
          </w:p>
          <w:p w14:paraId="538BC91D" w14:textId="77777777" w:rsidR="004939BA" w:rsidRDefault="004939BA" w:rsidP="00A22D4A">
            <w:pPr>
              <w:ind w:left="7"/>
            </w:pPr>
            <w:r>
              <w:rPr>
                <w:rFonts w:ascii="Arial MT" w:eastAsia="Arial MT" w:hAnsi="Arial MT" w:cs="Arial MT"/>
                <w:color w:val="373334"/>
                <w:sz w:val="9"/>
              </w:rPr>
              <w:t xml:space="preserve">leucocitario/neutropenia, eosinofilia, leucocitosis </w:t>
            </w:r>
          </w:p>
        </w:tc>
      </w:tr>
      <w:tr w:rsidR="004939BA" w14:paraId="0320218C"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43A3D040" w14:textId="77777777" w:rsidR="004939BA" w:rsidRDefault="004939BA" w:rsidP="00A22D4A">
            <w:pPr>
              <w:ind w:left="6"/>
            </w:pPr>
            <w:r>
              <w:rPr>
                <w:rFonts w:ascii="Arial MT" w:eastAsia="Arial MT" w:hAnsi="Arial MT" w:cs="Arial MT"/>
                <w:color w:val="373334"/>
                <w:sz w:val="9"/>
              </w:rPr>
              <w:t xml:space="preserve">Poco frecuentes </w:t>
            </w:r>
          </w:p>
        </w:tc>
        <w:tc>
          <w:tcPr>
            <w:tcW w:w="2088" w:type="dxa"/>
            <w:tcBorders>
              <w:top w:val="single" w:sz="2" w:space="0" w:color="373334"/>
              <w:left w:val="single" w:sz="2" w:space="0" w:color="373334"/>
              <w:bottom w:val="single" w:sz="2" w:space="0" w:color="373334"/>
              <w:right w:val="single" w:sz="2" w:space="0" w:color="373334"/>
            </w:tcBorders>
          </w:tcPr>
          <w:p w14:paraId="7E7900C9" w14:textId="77777777" w:rsidR="004939BA" w:rsidRDefault="004939BA" w:rsidP="00A22D4A">
            <w:pPr>
              <w:ind w:left="7"/>
            </w:pPr>
            <w:r>
              <w:rPr>
                <w:rFonts w:ascii="Arial MT" w:eastAsia="Arial MT" w:hAnsi="Arial MT" w:cs="Arial MT"/>
                <w:color w:val="373334"/>
                <w:sz w:val="9"/>
              </w:rPr>
              <w:t>Agranulocitosis</w:t>
            </w:r>
          </w:p>
        </w:tc>
      </w:tr>
      <w:tr w:rsidR="004939BA" w14:paraId="28F800C8"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02B3BB86" w14:textId="77777777" w:rsidR="004939BA" w:rsidRDefault="004939BA" w:rsidP="00A22D4A">
            <w:pPr>
              <w:ind w:left="6"/>
            </w:pPr>
            <w:r>
              <w:rPr>
                <w:rFonts w:ascii="Arial MT" w:eastAsia="Arial MT" w:hAnsi="Arial MT" w:cs="Arial MT"/>
                <w:color w:val="373334"/>
                <w:sz w:val="9"/>
              </w:rPr>
              <w:t xml:space="preserve">Raros </w:t>
            </w:r>
          </w:p>
        </w:tc>
        <w:tc>
          <w:tcPr>
            <w:tcW w:w="2088" w:type="dxa"/>
            <w:tcBorders>
              <w:top w:val="single" w:sz="2" w:space="0" w:color="373334"/>
              <w:left w:val="single" w:sz="2" w:space="0" w:color="373334"/>
              <w:bottom w:val="single" w:sz="2" w:space="0" w:color="373334"/>
              <w:right w:val="single" w:sz="2" w:space="0" w:color="373334"/>
            </w:tcBorders>
          </w:tcPr>
          <w:p w14:paraId="442DB7FB" w14:textId="77777777" w:rsidR="004939BA" w:rsidRDefault="004939BA" w:rsidP="00A22D4A">
            <w:pPr>
              <w:ind w:left="7"/>
            </w:pPr>
            <w:r>
              <w:rPr>
                <w:rFonts w:ascii="Arial MT" w:eastAsia="Arial MT" w:hAnsi="Arial MT" w:cs="Arial MT"/>
                <w:color w:val="373334"/>
                <w:sz w:val="9"/>
              </w:rPr>
              <w:t>Anemia</w:t>
            </w:r>
          </w:p>
        </w:tc>
      </w:tr>
      <w:tr w:rsidR="004939BA" w14:paraId="27E364CC"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4D42BA5E" w14:textId="77777777" w:rsidR="004939BA" w:rsidRDefault="004939BA" w:rsidP="00A22D4A">
            <w:pPr>
              <w:ind w:left="6"/>
            </w:pPr>
            <w:r>
              <w:rPr>
                <w:rFonts w:ascii="Arial MT" w:eastAsia="Arial MT" w:hAnsi="Arial MT" w:cs="Arial MT"/>
                <w:color w:val="373334"/>
                <w:sz w:val="9"/>
              </w:rPr>
              <w:t xml:space="preserve">Muy raros </w:t>
            </w:r>
          </w:p>
        </w:tc>
        <w:tc>
          <w:tcPr>
            <w:tcW w:w="2088" w:type="dxa"/>
            <w:tcBorders>
              <w:top w:val="single" w:sz="2" w:space="0" w:color="373334"/>
              <w:left w:val="single" w:sz="2" w:space="0" w:color="373334"/>
              <w:bottom w:val="single" w:sz="2" w:space="0" w:color="373334"/>
              <w:right w:val="single" w:sz="2" w:space="0" w:color="373334"/>
            </w:tcBorders>
          </w:tcPr>
          <w:p w14:paraId="13F48D74" w14:textId="77777777" w:rsidR="004939BA" w:rsidRDefault="004939BA" w:rsidP="00A22D4A">
            <w:pPr>
              <w:ind w:left="7"/>
            </w:pPr>
            <w:r>
              <w:rPr>
                <w:rFonts w:ascii="Arial MT" w:eastAsia="Arial MT" w:hAnsi="Arial MT" w:cs="Arial MT"/>
                <w:color w:val="373334"/>
                <w:sz w:val="9"/>
              </w:rPr>
              <w:t xml:space="preserve">Trombocitopenia, trombocitemia </w:t>
            </w:r>
          </w:p>
        </w:tc>
      </w:tr>
      <w:tr w:rsidR="004939BA" w14:paraId="377FF0B5" w14:textId="77777777" w:rsidTr="00A22D4A">
        <w:trPr>
          <w:trHeight w:val="215"/>
        </w:trPr>
        <w:tc>
          <w:tcPr>
            <w:tcW w:w="1875" w:type="dxa"/>
            <w:tcBorders>
              <w:top w:val="single" w:sz="2" w:space="0" w:color="373334"/>
              <w:left w:val="single" w:sz="3" w:space="0" w:color="373334"/>
              <w:bottom w:val="single" w:sz="2" w:space="0" w:color="373334"/>
              <w:right w:val="single" w:sz="2" w:space="0" w:color="373334"/>
            </w:tcBorders>
          </w:tcPr>
          <w:p w14:paraId="599EAECA" w14:textId="77777777" w:rsidR="004939BA" w:rsidRDefault="004939BA" w:rsidP="00A22D4A">
            <w:pPr>
              <w:ind w:left="6"/>
            </w:pPr>
            <w:r>
              <w:rPr>
                <w:rFonts w:ascii="Arial MT" w:eastAsia="Arial MT" w:hAnsi="Arial MT" w:cs="Arial MT"/>
                <w:b/>
                <w:color w:val="373334"/>
                <w:sz w:val="9"/>
              </w:rPr>
              <w:t xml:space="preserve">Trastornos sobre el sistema inmunológico </w:t>
            </w:r>
          </w:p>
        </w:tc>
        <w:tc>
          <w:tcPr>
            <w:tcW w:w="2088" w:type="dxa"/>
            <w:tcBorders>
              <w:top w:val="single" w:sz="2" w:space="0" w:color="373334"/>
              <w:left w:val="single" w:sz="2" w:space="0" w:color="373334"/>
              <w:bottom w:val="single" w:sz="2" w:space="0" w:color="373334"/>
              <w:right w:val="single" w:sz="2" w:space="0" w:color="373334"/>
            </w:tcBorders>
          </w:tcPr>
          <w:p w14:paraId="37A45C91" w14:textId="77777777" w:rsidR="004939BA" w:rsidRDefault="004939BA" w:rsidP="00A22D4A"/>
        </w:tc>
      </w:tr>
      <w:tr w:rsidR="004939BA" w14:paraId="50FA4365"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424214EA" w14:textId="77777777" w:rsidR="004939BA" w:rsidRDefault="004939BA" w:rsidP="00A22D4A">
            <w:pPr>
              <w:ind w:left="6"/>
            </w:pPr>
            <w:r>
              <w:rPr>
                <w:rFonts w:ascii="Arial MT" w:eastAsia="Arial MT" w:hAnsi="Arial MT" w:cs="Arial MT"/>
                <w:color w:val="373334"/>
                <w:sz w:val="9"/>
              </w:rPr>
              <w:t xml:space="preserve">Frecuencia no conocida </w:t>
            </w:r>
          </w:p>
        </w:tc>
        <w:tc>
          <w:tcPr>
            <w:tcW w:w="2088" w:type="dxa"/>
            <w:tcBorders>
              <w:top w:val="single" w:sz="2" w:space="0" w:color="373334"/>
              <w:left w:val="single" w:sz="2" w:space="0" w:color="373334"/>
              <w:bottom w:val="single" w:sz="2" w:space="0" w:color="373334"/>
              <w:right w:val="single" w:sz="2" w:space="0" w:color="373334"/>
            </w:tcBorders>
          </w:tcPr>
          <w:p w14:paraId="7C292195" w14:textId="77777777" w:rsidR="004939BA" w:rsidRDefault="004939BA" w:rsidP="00A22D4A">
            <w:pPr>
              <w:ind w:left="7"/>
            </w:pPr>
            <w:r>
              <w:rPr>
                <w:rFonts w:ascii="Arial MT" w:eastAsia="Arial MT" w:hAnsi="Arial MT" w:cs="Arial MT"/>
                <w:color w:val="373334"/>
                <w:sz w:val="9"/>
              </w:rPr>
              <w:t xml:space="preserve">Angioedema, vasculitis leucocitoclástica </w:t>
            </w:r>
          </w:p>
        </w:tc>
      </w:tr>
      <w:tr w:rsidR="004939BA" w14:paraId="087E5E71"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2BF853AF" w14:textId="77777777" w:rsidR="004939BA" w:rsidRDefault="004939BA" w:rsidP="00A22D4A">
            <w:pPr>
              <w:ind w:left="6"/>
            </w:pPr>
            <w:r>
              <w:rPr>
                <w:rFonts w:ascii="Arial MT" w:eastAsia="Arial MT" w:hAnsi="Arial MT" w:cs="Arial MT"/>
                <w:b/>
                <w:color w:val="373334"/>
                <w:sz w:val="9"/>
              </w:rPr>
              <w:t xml:space="preserve">Trastornos endocrinos </w:t>
            </w:r>
          </w:p>
        </w:tc>
        <w:tc>
          <w:tcPr>
            <w:tcW w:w="2088" w:type="dxa"/>
            <w:tcBorders>
              <w:top w:val="single" w:sz="2" w:space="0" w:color="373334"/>
              <w:left w:val="single" w:sz="2" w:space="0" w:color="373334"/>
              <w:bottom w:val="single" w:sz="2" w:space="0" w:color="373334"/>
              <w:right w:val="single" w:sz="2" w:space="0" w:color="373334"/>
            </w:tcBorders>
          </w:tcPr>
          <w:p w14:paraId="70AF19D1" w14:textId="77777777" w:rsidR="004939BA" w:rsidRDefault="004939BA" w:rsidP="00A22D4A"/>
        </w:tc>
      </w:tr>
      <w:tr w:rsidR="004939BA" w14:paraId="3D1C19C4"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72F9BDBC" w14:textId="77777777" w:rsidR="004939BA" w:rsidRDefault="004939BA" w:rsidP="00A22D4A">
            <w:pPr>
              <w:ind w:left="6"/>
            </w:pPr>
            <w:r>
              <w:rPr>
                <w:rFonts w:ascii="Arial MT" w:eastAsia="Arial MT" w:hAnsi="Arial MT" w:cs="Arial MT"/>
                <w:color w:val="373334"/>
                <w:sz w:val="9"/>
              </w:rPr>
              <w:t xml:space="preserve">Frecuencia no conocida </w:t>
            </w:r>
          </w:p>
        </w:tc>
        <w:tc>
          <w:tcPr>
            <w:tcW w:w="2088" w:type="dxa"/>
            <w:tcBorders>
              <w:top w:val="single" w:sz="2" w:space="0" w:color="373334"/>
              <w:left w:val="single" w:sz="2" w:space="0" w:color="373334"/>
              <w:bottom w:val="single" w:sz="2" w:space="0" w:color="373334"/>
              <w:right w:val="single" w:sz="2" w:space="0" w:color="373334"/>
            </w:tcBorders>
          </w:tcPr>
          <w:p w14:paraId="71F0C756" w14:textId="77777777" w:rsidR="004939BA" w:rsidRDefault="004939BA" w:rsidP="00A22D4A">
            <w:pPr>
              <w:ind w:left="7"/>
            </w:pPr>
            <w:r>
              <w:rPr>
                <w:rFonts w:ascii="Arial MT" w:eastAsia="Arial MT" w:hAnsi="Arial MT" w:cs="Arial MT"/>
                <w:color w:val="373334"/>
                <w:sz w:val="9"/>
              </w:rPr>
              <w:t xml:space="preserve">Pseudofeocromocitoma </w:t>
            </w:r>
          </w:p>
        </w:tc>
      </w:tr>
      <w:tr w:rsidR="004939BA" w14:paraId="0BF925E8" w14:textId="77777777" w:rsidTr="00A22D4A">
        <w:trPr>
          <w:trHeight w:val="214"/>
        </w:trPr>
        <w:tc>
          <w:tcPr>
            <w:tcW w:w="1875" w:type="dxa"/>
            <w:tcBorders>
              <w:top w:val="single" w:sz="2" w:space="0" w:color="373334"/>
              <w:left w:val="single" w:sz="3" w:space="0" w:color="373334"/>
              <w:bottom w:val="single" w:sz="2" w:space="0" w:color="373334"/>
              <w:right w:val="single" w:sz="2" w:space="0" w:color="373334"/>
            </w:tcBorders>
          </w:tcPr>
          <w:p w14:paraId="7A1540DA" w14:textId="77777777" w:rsidR="004939BA" w:rsidRDefault="004939BA" w:rsidP="00A22D4A">
            <w:pPr>
              <w:ind w:left="6"/>
            </w:pPr>
            <w:r>
              <w:rPr>
                <w:rFonts w:ascii="Arial MT" w:eastAsia="Arial MT" w:hAnsi="Arial MT" w:cs="Arial MT"/>
                <w:b/>
                <w:color w:val="373334"/>
                <w:sz w:val="9"/>
              </w:rPr>
              <w:t xml:space="preserve">Trastornos del metabolismo y de la nutrición </w:t>
            </w:r>
          </w:p>
        </w:tc>
        <w:tc>
          <w:tcPr>
            <w:tcW w:w="2088" w:type="dxa"/>
            <w:tcBorders>
              <w:top w:val="single" w:sz="2" w:space="0" w:color="373334"/>
              <w:left w:val="single" w:sz="2" w:space="0" w:color="373334"/>
              <w:bottom w:val="single" w:sz="2" w:space="0" w:color="373334"/>
              <w:right w:val="single" w:sz="2" w:space="0" w:color="373334"/>
            </w:tcBorders>
          </w:tcPr>
          <w:p w14:paraId="1C65E46F" w14:textId="77777777" w:rsidR="004939BA" w:rsidRDefault="004939BA" w:rsidP="00A22D4A"/>
        </w:tc>
      </w:tr>
      <w:tr w:rsidR="004939BA" w14:paraId="1F29EA23"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702FF5DE" w14:textId="77777777" w:rsidR="004939BA" w:rsidRDefault="004939BA" w:rsidP="00A22D4A">
            <w:pPr>
              <w:ind w:left="6"/>
            </w:pPr>
            <w:r>
              <w:rPr>
                <w:rFonts w:ascii="Arial MT" w:eastAsia="Arial MT" w:hAnsi="Arial MT" w:cs="Arial MT"/>
                <w:color w:val="373334"/>
                <w:sz w:val="9"/>
              </w:rPr>
              <w:t xml:space="preserve">Frecuentes </w:t>
            </w:r>
          </w:p>
        </w:tc>
        <w:tc>
          <w:tcPr>
            <w:tcW w:w="2088" w:type="dxa"/>
            <w:tcBorders>
              <w:top w:val="single" w:sz="2" w:space="0" w:color="373334"/>
              <w:left w:val="single" w:sz="2" w:space="0" w:color="373334"/>
              <w:bottom w:val="single" w:sz="2" w:space="0" w:color="373334"/>
              <w:right w:val="single" w:sz="2" w:space="0" w:color="373334"/>
            </w:tcBorders>
          </w:tcPr>
          <w:p w14:paraId="7AF83583" w14:textId="77777777" w:rsidR="004939BA" w:rsidRDefault="004939BA" w:rsidP="00A22D4A">
            <w:pPr>
              <w:ind w:left="7"/>
            </w:pPr>
            <w:r>
              <w:rPr>
                <w:rFonts w:ascii="Arial MT" w:eastAsia="Arial MT" w:hAnsi="Arial MT" w:cs="Arial MT"/>
                <w:color w:val="373334"/>
                <w:sz w:val="9"/>
              </w:rPr>
              <w:t xml:space="preserve">Aumento de peso </w:t>
            </w:r>
          </w:p>
        </w:tc>
      </w:tr>
      <w:tr w:rsidR="004939BA" w14:paraId="3F84E5CB" w14:textId="77777777" w:rsidTr="00A22D4A">
        <w:trPr>
          <w:trHeight w:val="424"/>
        </w:trPr>
        <w:tc>
          <w:tcPr>
            <w:tcW w:w="1875" w:type="dxa"/>
            <w:tcBorders>
              <w:top w:val="single" w:sz="2" w:space="0" w:color="373334"/>
              <w:left w:val="single" w:sz="3" w:space="0" w:color="373334"/>
              <w:bottom w:val="single" w:sz="2" w:space="0" w:color="373334"/>
              <w:right w:val="single" w:sz="2" w:space="0" w:color="373334"/>
            </w:tcBorders>
          </w:tcPr>
          <w:p w14:paraId="26080AD2" w14:textId="77777777" w:rsidR="004939BA" w:rsidRDefault="004939BA" w:rsidP="00A22D4A">
            <w:pPr>
              <w:ind w:left="6"/>
            </w:pPr>
            <w:r>
              <w:rPr>
                <w:rFonts w:ascii="Arial MT" w:eastAsia="Arial MT" w:hAnsi="Arial MT" w:cs="Arial MT"/>
                <w:color w:val="373334"/>
                <w:sz w:val="9"/>
              </w:rPr>
              <w:t xml:space="preserve">Raros </w:t>
            </w:r>
          </w:p>
        </w:tc>
        <w:tc>
          <w:tcPr>
            <w:tcW w:w="2088" w:type="dxa"/>
            <w:tcBorders>
              <w:top w:val="single" w:sz="2" w:space="0" w:color="373334"/>
              <w:left w:val="single" w:sz="2" w:space="0" w:color="373334"/>
              <w:bottom w:val="single" w:sz="2" w:space="0" w:color="373334"/>
              <w:right w:val="single" w:sz="2" w:space="0" w:color="373334"/>
            </w:tcBorders>
          </w:tcPr>
          <w:p w14:paraId="1D93E66B" w14:textId="77777777" w:rsidR="004939BA" w:rsidRDefault="004939BA" w:rsidP="00A22D4A">
            <w:pPr>
              <w:ind w:left="7"/>
            </w:pPr>
            <w:r>
              <w:rPr>
                <w:rFonts w:ascii="Arial MT" w:eastAsia="Arial MT" w:hAnsi="Arial MT" w:cs="Arial MT"/>
                <w:color w:val="373334"/>
                <w:sz w:val="9"/>
              </w:rPr>
              <w:t xml:space="preserve">Alteración de la tolerancia a la glucosa, diabetes </w:t>
            </w:r>
          </w:p>
          <w:p w14:paraId="4DFB5F54" w14:textId="77777777" w:rsidR="004939BA" w:rsidRDefault="004939BA" w:rsidP="00A22D4A">
            <w:pPr>
              <w:ind w:left="7"/>
            </w:pPr>
            <w:r>
              <w:rPr>
                <w:rFonts w:ascii="Arial MT" w:eastAsia="Arial MT" w:hAnsi="Arial MT" w:cs="Arial MT"/>
                <w:color w:val="373334"/>
                <w:sz w:val="9"/>
              </w:rPr>
              <w:t>mellitus, obesidad Coma hiperosmolar, cetoacidosis, hiperglucemia grave, hipercolesterolemia</w:t>
            </w:r>
          </w:p>
        </w:tc>
      </w:tr>
      <w:tr w:rsidR="004939BA" w14:paraId="74F15FAD" w14:textId="77777777" w:rsidTr="00A22D4A">
        <w:trPr>
          <w:trHeight w:val="215"/>
        </w:trPr>
        <w:tc>
          <w:tcPr>
            <w:tcW w:w="1875" w:type="dxa"/>
            <w:tcBorders>
              <w:top w:val="single" w:sz="2" w:space="0" w:color="373334"/>
              <w:left w:val="single" w:sz="3" w:space="0" w:color="373334"/>
              <w:bottom w:val="single" w:sz="2" w:space="0" w:color="373334"/>
              <w:right w:val="single" w:sz="2" w:space="0" w:color="373334"/>
            </w:tcBorders>
          </w:tcPr>
          <w:p w14:paraId="68707323" w14:textId="77777777" w:rsidR="004939BA" w:rsidRDefault="004939BA" w:rsidP="00A22D4A">
            <w:pPr>
              <w:ind w:left="6"/>
            </w:pPr>
            <w:r>
              <w:rPr>
                <w:rFonts w:ascii="Arial MT" w:eastAsia="Arial MT" w:hAnsi="Arial MT" w:cs="Arial MT"/>
                <w:color w:val="373334"/>
                <w:sz w:val="9"/>
              </w:rPr>
              <w:t>Muy raros</w:t>
            </w:r>
          </w:p>
        </w:tc>
        <w:tc>
          <w:tcPr>
            <w:tcW w:w="2088" w:type="dxa"/>
            <w:tcBorders>
              <w:top w:val="single" w:sz="2" w:space="0" w:color="373334"/>
              <w:left w:val="single" w:sz="2" w:space="0" w:color="373334"/>
              <w:bottom w:val="single" w:sz="2" w:space="0" w:color="373334"/>
              <w:right w:val="single" w:sz="2" w:space="0" w:color="373334"/>
            </w:tcBorders>
          </w:tcPr>
          <w:p w14:paraId="3CFDF01D" w14:textId="77777777" w:rsidR="004939BA" w:rsidRDefault="004939BA" w:rsidP="00A22D4A">
            <w:pPr>
              <w:ind w:left="7"/>
            </w:pPr>
            <w:r>
              <w:rPr>
                <w:rFonts w:ascii="Arial MT" w:eastAsia="Arial MT" w:hAnsi="Arial MT" w:cs="Arial MT"/>
                <w:color w:val="373334"/>
                <w:sz w:val="9"/>
              </w:rPr>
              <w:t>Coma hiperosmolar, cetoacidosis, hiperglucemia grave, hipercolesterolemia, hipertrigliciridemia</w:t>
            </w:r>
          </w:p>
        </w:tc>
      </w:tr>
      <w:tr w:rsidR="004939BA" w14:paraId="20B4C656" w14:textId="77777777" w:rsidTr="00A22D4A">
        <w:trPr>
          <w:trHeight w:val="109"/>
        </w:trPr>
        <w:tc>
          <w:tcPr>
            <w:tcW w:w="3963" w:type="dxa"/>
            <w:gridSpan w:val="2"/>
            <w:tcBorders>
              <w:top w:val="single" w:sz="2" w:space="0" w:color="373334"/>
              <w:left w:val="single" w:sz="3" w:space="0" w:color="373334"/>
              <w:bottom w:val="single" w:sz="2" w:space="0" w:color="373334"/>
              <w:right w:val="single" w:sz="2" w:space="0" w:color="373334"/>
            </w:tcBorders>
          </w:tcPr>
          <w:p w14:paraId="6AF05333" w14:textId="77777777" w:rsidR="004939BA" w:rsidRDefault="004939BA" w:rsidP="00A22D4A">
            <w:pPr>
              <w:ind w:left="6"/>
            </w:pPr>
            <w:r>
              <w:rPr>
                <w:rFonts w:ascii="Arial MT" w:eastAsia="Arial MT" w:hAnsi="Arial MT" w:cs="Arial MT"/>
                <w:b/>
                <w:color w:val="373334"/>
                <w:sz w:val="9"/>
              </w:rPr>
              <w:t>Trastornos psiquiátricos</w:t>
            </w:r>
          </w:p>
        </w:tc>
      </w:tr>
      <w:tr w:rsidR="004939BA" w14:paraId="68D0298B" w14:textId="77777777" w:rsidTr="00A22D4A">
        <w:trPr>
          <w:trHeight w:val="110"/>
        </w:trPr>
        <w:tc>
          <w:tcPr>
            <w:tcW w:w="1875" w:type="dxa"/>
            <w:tcBorders>
              <w:top w:val="single" w:sz="2" w:space="0" w:color="373334"/>
              <w:left w:val="single" w:sz="3" w:space="0" w:color="373334"/>
              <w:bottom w:val="single" w:sz="2" w:space="0" w:color="373334"/>
              <w:right w:val="single" w:sz="2" w:space="0" w:color="373334"/>
            </w:tcBorders>
          </w:tcPr>
          <w:p w14:paraId="52299FFE" w14:textId="77777777" w:rsidR="004939BA" w:rsidRDefault="004939BA" w:rsidP="00A22D4A">
            <w:pPr>
              <w:ind w:left="6"/>
            </w:pPr>
            <w:r>
              <w:rPr>
                <w:rFonts w:ascii="Arial MT" w:eastAsia="Arial MT" w:hAnsi="Arial MT" w:cs="Arial MT"/>
                <w:color w:val="373334"/>
                <w:sz w:val="9"/>
              </w:rPr>
              <w:t>Frecuentes</w:t>
            </w:r>
          </w:p>
        </w:tc>
        <w:tc>
          <w:tcPr>
            <w:tcW w:w="2088" w:type="dxa"/>
            <w:tcBorders>
              <w:top w:val="single" w:sz="2" w:space="0" w:color="373334"/>
              <w:left w:val="single" w:sz="2" w:space="0" w:color="373334"/>
              <w:bottom w:val="single" w:sz="2" w:space="0" w:color="373334"/>
              <w:right w:val="single" w:sz="2" w:space="0" w:color="373334"/>
            </w:tcBorders>
          </w:tcPr>
          <w:p w14:paraId="21EBA971" w14:textId="77777777" w:rsidR="004939BA" w:rsidRDefault="004939BA" w:rsidP="00A22D4A">
            <w:pPr>
              <w:ind w:left="5"/>
            </w:pPr>
            <w:r>
              <w:rPr>
                <w:rFonts w:ascii="Arial MT" w:eastAsia="Arial MT" w:hAnsi="Arial MT" w:cs="Arial MT"/>
                <w:color w:val="373334"/>
                <w:sz w:val="9"/>
              </w:rPr>
              <w:t>Disartria</w:t>
            </w:r>
          </w:p>
        </w:tc>
      </w:tr>
      <w:tr w:rsidR="004939BA" w14:paraId="0851EB3C" w14:textId="77777777" w:rsidTr="00A22D4A">
        <w:trPr>
          <w:trHeight w:val="109"/>
        </w:trPr>
        <w:tc>
          <w:tcPr>
            <w:tcW w:w="3963" w:type="dxa"/>
            <w:gridSpan w:val="2"/>
            <w:tcBorders>
              <w:top w:val="single" w:sz="2" w:space="0" w:color="373334"/>
              <w:left w:val="single" w:sz="3" w:space="0" w:color="373334"/>
              <w:bottom w:val="single" w:sz="2" w:space="0" w:color="373334"/>
              <w:right w:val="single" w:sz="2" w:space="0" w:color="373334"/>
            </w:tcBorders>
          </w:tcPr>
          <w:p w14:paraId="14D69D01" w14:textId="77777777" w:rsidR="004939BA" w:rsidRDefault="004939BA" w:rsidP="00A22D4A">
            <w:pPr>
              <w:tabs>
                <w:tab w:val="center" w:pos="336"/>
                <w:tab w:val="center" w:pos="2058"/>
              </w:tabs>
            </w:pPr>
            <w:r>
              <w:tab/>
            </w:r>
            <w:r>
              <w:rPr>
                <w:rFonts w:ascii="Arial MT" w:eastAsia="Arial MT" w:hAnsi="Arial MT" w:cs="Arial MT"/>
                <w:color w:val="373334"/>
                <w:sz w:val="9"/>
              </w:rPr>
              <w:t>Poco frecuentes</w:t>
            </w:r>
            <w:r>
              <w:rPr>
                <w:rFonts w:ascii="Arial MT" w:eastAsia="Arial MT" w:hAnsi="Arial MT" w:cs="Arial MT"/>
                <w:color w:val="373334"/>
                <w:sz w:val="9"/>
              </w:rPr>
              <w:tab/>
              <w:t>Disfemia</w:t>
            </w:r>
          </w:p>
        </w:tc>
      </w:tr>
      <w:tr w:rsidR="004939BA" w14:paraId="7596B882"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49BA154B" w14:textId="77777777" w:rsidR="004939BA" w:rsidRDefault="004939BA" w:rsidP="00A22D4A">
            <w:pPr>
              <w:ind w:left="6"/>
            </w:pPr>
            <w:r>
              <w:rPr>
                <w:rFonts w:ascii="Arial MT" w:eastAsia="Arial MT" w:hAnsi="Arial MT" w:cs="Arial MT"/>
                <w:color w:val="373334"/>
                <w:sz w:val="9"/>
              </w:rPr>
              <w:t>Raros</w:t>
            </w:r>
          </w:p>
        </w:tc>
        <w:tc>
          <w:tcPr>
            <w:tcW w:w="2088" w:type="dxa"/>
            <w:tcBorders>
              <w:top w:val="single" w:sz="2" w:space="0" w:color="373334"/>
              <w:left w:val="single" w:sz="2" w:space="0" w:color="373334"/>
              <w:bottom w:val="single" w:sz="2" w:space="0" w:color="373334"/>
              <w:right w:val="single" w:sz="2" w:space="0" w:color="373334"/>
            </w:tcBorders>
          </w:tcPr>
          <w:p w14:paraId="02CFB671" w14:textId="77777777" w:rsidR="004939BA" w:rsidRDefault="004939BA" w:rsidP="00A22D4A">
            <w:pPr>
              <w:ind w:left="5"/>
            </w:pPr>
            <w:r>
              <w:rPr>
                <w:rFonts w:ascii="Arial MT" w:eastAsia="Arial MT" w:hAnsi="Arial MT" w:cs="Arial MT"/>
                <w:color w:val="373334"/>
                <w:sz w:val="9"/>
              </w:rPr>
              <w:t>Inquietud, agitación</w:t>
            </w:r>
          </w:p>
        </w:tc>
      </w:tr>
      <w:tr w:rsidR="004939BA" w14:paraId="25A03693" w14:textId="77777777" w:rsidTr="00A22D4A">
        <w:trPr>
          <w:trHeight w:val="109"/>
        </w:trPr>
        <w:tc>
          <w:tcPr>
            <w:tcW w:w="3963" w:type="dxa"/>
            <w:gridSpan w:val="2"/>
            <w:tcBorders>
              <w:top w:val="single" w:sz="2" w:space="0" w:color="373334"/>
              <w:left w:val="single" w:sz="3" w:space="0" w:color="373334"/>
              <w:bottom w:val="single" w:sz="2" w:space="0" w:color="373334"/>
              <w:right w:val="single" w:sz="2" w:space="0" w:color="373334"/>
            </w:tcBorders>
          </w:tcPr>
          <w:p w14:paraId="32313A8E" w14:textId="77777777" w:rsidR="004939BA" w:rsidRDefault="004939BA" w:rsidP="00A22D4A">
            <w:pPr>
              <w:ind w:left="6"/>
            </w:pPr>
            <w:r>
              <w:rPr>
                <w:rFonts w:ascii="Arial MT" w:eastAsia="Arial MT" w:hAnsi="Arial MT" w:cs="Arial MT"/>
                <w:b/>
                <w:color w:val="373334"/>
                <w:sz w:val="9"/>
              </w:rPr>
              <w:t>Trastornos del sistema nervioso</w:t>
            </w:r>
          </w:p>
        </w:tc>
      </w:tr>
      <w:tr w:rsidR="004939BA" w14:paraId="43D78D3F"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0E5A68D7" w14:textId="77777777" w:rsidR="004939BA" w:rsidRDefault="004939BA" w:rsidP="00A22D4A">
            <w:pPr>
              <w:ind w:left="6"/>
            </w:pPr>
            <w:r>
              <w:rPr>
                <w:rFonts w:ascii="Arial MT" w:eastAsia="Arial MT" w:hAnsi="Arial MT" w:cs="Arial MT"/>
                <w:color w:val="373334"/>
                <w:sz w:val="9"/>
              </w:rPr>
              <w:t>Muy frecuentes</w:t>
            </w:r>
          </w:p>
        </w:tc>
        <w:tc>
          <w:tcPr>
            <w:tcW w:w="2088" w:type="dxa"/>
            <w:tcBorders>
              <w:top w:val="single" w:sz="2" w:space="0" w:color="373334"/>
              <w:left w:val="single" w:sz="2" w:space="0" w:color="373334"/>
              <w:bottom w:val="single" w:sz="2" w:space="0" w:color="373334"/>
              <w:right w:val="single" w:sz="2" w:space="0" w:color="373334"/>
            </w:tcBorders>
          </w:tcPr>
          <w:p w14:paraId="3D74C5DD" w14:textId="77777777" w:rsidR="004939BA" w:rsidRDefault="004939BA" w:rsidP="00A22D4A">
            <w:pPr>
              <w:ind w:left="5"/>
            </w:pPr>
            <w:r>
              <w:rPr>
                <w:rFonts w:ascii="Arial MT" w:eastAsia="Arial MT" w:hAnsi="Arial MT" w:cs="Arial MT"/>
                <w:color w:val="373334"/>
                <w:sz w:val="9"/>
              </w:rPr>
              <w:t>Somnolencia/sedación, mareo</w:t>
            </w:r>
          </w:p>
        </w:tc>
      </w:tr>
      <w:tr w:rsidR="004939BA" w14:paraId="47492461" w14:textId="77777777" w:rsidTr="00A22D4A">
        <w:trPr>
          <w:trHeight w:val="319"/>
        </w:trPr>
        <w:tc>
          <w:tcPr>
            <w:tcW w:w="1875" w:type="dxa"/>
            <w:tcBorders>
              <w:top w:val="single" w:sz="2" w:space="0" w:color="373334"/>
              <w:left w:val="single" w:sz="3" w:space="0" w:color="373334"/>
              <w:bottom w:val="single" w:sz="2" w:space="0" w:color="373334"/>
              <w:right w:val="single" w:sz="2" w:space="0" w:color="373334"/>
            </w:tcBorders>
          </w:tcPr>
          <w:p w14:paraId="3F527B2F" w14:textId="77777777" w:rsidR="004939BA" w:rsidRDefault="004939BA" w:rsidP="00A22D4A">
            <w:pPr>
              <w:ind w:left="6"/>
            </w:pPr>
            <w:r>
              <w:rPr>
                <w:rFonts w:ascii="Arial MT" w:eastAsia="Arial MT" w:hAnsi="Arial MT" w:cs="Arial MT"/>
                <w:color w:val="373334"/>
                <w:sz w:val="9"/>
              </w:rPr>
              <w:t>Frecuentes</w:t>
            </w:r>
          </w:p>
        </w:tc>
        <w:tc>
          <w:tcPr>
            <w:tcW w:w="2088" w:type="dxa"/>
            <w:tcBorders>
              <w:top w:val="single" w:sz="2" w:space="0" w:color="373334"/>
              <w:left w:val="single" w:sz="2" w:space="0" w:color="373334"/>
              <w:bottom w:val="single" w:sz="2" w:space="0" w:color="373334"/>
              <w:right w:val="single" w:sz="2" w:space="0" w:color="373334"/>
            </w:tcBorders>
          </w:tcPr>
          <w:p w14:paraId="5A4C96FC" w14:textId="77777777" w:rsidR="004939BA" w:rsidRDefault="004939BA" w:rsidP="00A22D4A">
            <w:pPr>
              <w:ind w:left="5"/>
            </w:pPr>
            <w:r>
              <w:rPr>
                <w:rFonts w:ascii="Arial MT" w:eastAsia="Arial MT" w:hAnsi="Arial MT" w:cs="Arial MT"/>
                <w:color w:val="373334"/>
                <w:sz w:val="9"/>
              </w:rPr>
              <w:t>Crisis epilépticas/convulsiones, espasmos miclónicos, síntomas extrapiramidales, acatisia, temblor, rigidez, cefalea.</w:t>
            </w:r>
          </w:p>
        </w:tc>
      </w:tr>
      <w:tr w:rsidR="004939BA" w14:paraId="1A5EB4DE" w14:textId="77777777" w:rsidTr="00A22D4A">
        <w:trPr>
          <w:trHeight w:val="110"/>
        </w:trPr>
        <w:tc>
          <w:tcPr>
            <w:tcW w:w="1875" w:type="dxa"/>
            <w:tcBorders>
              <w:top w:val="single" w:sz="2" w:space="0" w:color="373334"/>
              <w:left w:val="single" w:sz="3" w:space="0" w:color="373334"/>
              <w:bottom w:val="single" w:sz="2" w:space="0" w:color="373334"/>
              <w:right w:val="single" w:sz="2" w:space="0" w:color="373334"/>
            </w:tcBorders>
          </w:tcPr>
          <w:p w14:paraId="5C05671E" w14:textId="77777777" w:rsidR="004939BA" w:rsidRDefault="004939BA" w:rsidP="00A22D4A">
            <w:pPr>
              <w:ind w:left="6"/>
            </w:pPr>
            <w:r>
              <w:rPr>
                <w:rFonts w:ascii="Arial MT" w:eastAsia="Arial MT" w:hAnsi="Arial MT" w:cs="Arial MT"/>
                <w:color w:val="373334"/>
                <w:sz w:val="9"/>
              </w:rPr>
              <w:t>Poco frecuentes</w:t>
            </w:r>
          </w:p>
        </w:tc>
        <w:tc>
          <w:tcPr>
            <w:tcW w:w="2088" w:type="dxa"/>
            <w:tcBorders>
              <w:top w:val="single" w:sz="2" w:space="0" w:color="373334"/>
              <w:left w:val="single" w:sz="2" w:space="0" w:color="373334"/>
              <w:bottom w:val="single" w:sz="2" w:space="0" w:color="373334"/>
              <w:right w:val="single" w:sz="2" w:space="0" w:color="373334"/>
            </w:tcBorders>
          </w:tcPr>
          <w:p w14:paraId="5651C77C" w14:textId="77777777" w:rsidR="004939BA" w:rsidRDefault="004939BA" w:rsidP="00A22D4A">
            <w:pPr>
              <w:ind w:left="5"/>
            </w:pPr>
            <w:r>
              <w:rPr>
                <w:rFonts w:ascii="Arial MT" w:eastAsia="Arial MT" w:hAnsi="Arial MT" w:cs="Arial MT"/>
                <w:color w:val="373334"/>
                <w:sz w:val="9"/>
              </w:rPr>
              <w:t>Síndrome neuroléptico maligno</w:t>
            </w:r>
          </w:p>
        </w:tc>
      </w:tr>
      <w:tr w:rsidR="004939BA" w14:paraId="58603772" w14:textId="77777777" w:rsidTr="00A22D4A">
        <w:trPr>
          <w:trHeight w:val="127"/>
        </w:trPr>
        <w:tc>
          <w:tcPr>
            <w:tcW w:w="1875" w:type="dxa"/>
            <w:tcBorders>
              <w:top w:val="single" w:sz="2" w:space="0" w:color="373334"/>
              <w:left w:val="single" w:sz="3" w:space="0" w:color="373334"/>
              <w:bottom w:val="single" w:sz="2" w:space="0" w:color="373334"/>
              <w:right w:val="single" w:sz="2" w:space="0" w:color="373334"/>
            </w:tcBorders>
          </w:tcPr>
          <w:p w14:paraId="3E4D73CD" w14:textId="77777777" w:rsidR="004939BA" w:rsidRDefault="004939BA" w:rsidP="00A22D4A">
            <w:pPr>
              <w:ind w:left="6"/>
            </w:pPr>
            <w:r>
              <w:rPr>
                <w:rFonts w:ascii="Arial MT" w:eastAsia="Arial MT" w:hAnsi="Arial MT" w:cs="Arial MT"/>
                <w:color w:val="373334"/>
                <w:sz w:val="9"/>
              </w:rPr>
              <w:t>Raros</w:t>
            </w:r>
          </w:p>
        </w:tc>
        <w:tc>
          <w:tcPr>
            <w:tcW w:w="2088" w:type="dxa"/>
            <w:tcBorders>
              <w:top w:val="single" w:sz="2" w:space="0" w:color="373334"/>
              <w:left w:val="single" w:sz="2" w:space="0" w:color="373334"/>
              <w:bottom w:val="single" w:sz="2" w:space="0" w:color="373334"/>
              <w:right w:val="single" w:sz="2" w:space="0" w:color="373334"/>
            </w:tcBorders>
          </w:tcPr>
          <w:p w14:paraId="3C60606E" w14:textId="77777777" w:rsidR="004939BA" w:rsidRDefault="004939BA" w:rsidP="00A22D4A">
            <w:pPr>
              <w:ind w:left="5"/>
            </w:pPr>
            <w:r>
              <w:rPr>
                <w:rFonts w:ascii="Arial MT" w:eastAsia="Arial MT" w:hAnsi="Arial MT" w:cs="Arial MT"/>
                <w:color w:val="373334"/>
                <w:sz w:val="9"/>
              </w:rPr>
              <w:t>Confusión, delirio</w:t>
            </w:r>
          </w:p>
        </w:tc>
      </w:tr>
      <w:tr w:rsidR="004939BA" w14:paraId="769C5523" w14:textId="77777777" w:rsidTr="00A22D4A">
        <w:trPr>
          <w:trHeight w:val="214"/>
        </w:trPr>
        <w:tc>
          <w:tcPr>
            <w:tcW w:w="1875" w:type="dxa"/>
            <w:tcBorders>
              <w:top w:val="single" w:sz="2" w:space="0" w:color="373334"/>
              <w:left w:val="single" w:sz="3" w:space="0" w:color="373334"/>
              <w:bottom w:val="single" w:sz="2" w:space="0" w:color="373334"/>
              <w:right w:val="single" w:sz="2" w:space="0" w:color="373334"/>
            </w:tcBorders>
          </w:tcPr>
          <w:p w14:paraId="7E3C084C" w14:textId="77777777" w:rsidR="004939BA" w:rsidRDefault="004939BA" w:rsidP="00A22D4A">
            <w:pPr>
              <w:ind w:left="6"/>
            </w:pPr>
            <w:r>
              <w:rPr>
                <w:rFonts w:ascii="Arial MT" w:eastAsia="Arial MT" w:hAnsi="Arial MT" w:cs="Arial MT"/>
                <w:color w:val="373334"/>
                <w:sz w:val="9"/>
              </w:rPr>
              <w:t>Muy raros</w:t>
            </w:r>
          </w:p>
        </w:tc>
        <w:tc>
          <w:tcPr>
            <w:tcW w:w="2088" w:type="dxa"/>
            <w:tcBorders>
              <w:top w:val="single" w:sz="2" w:space="0" w:color="373334"/>
              <w:left w:val="single" w:sz="2" w:space="0" w:color="373334"/>
              <w:bottom w:val="single" w:sz="2" w:space="0" w:color="373334"/>
              <w:right w:val="single" w:sz="2" w:space="0" w:color="373334"/>
            </w:tcBorders>
          </w:tcPr>
          <w:p w14:paraId="60173D6C" w14:textId="77777777" w:rsidR="004939BA" w:rsidRDefault="004939BA" w:rsidP="00A22D4A">
            <w:pPr>
              <w:ind w:left="5"/>
            </w:pPr>
            <w:r>
              <w:rPr>
                <w:rFonts w:ascii="Arial MT" w:eastAsia="Arial MT" w:hAnsi="Arial MT" w:cs="Arial MT"/>
                <w:color w:val="373334"/>
                <w:sz w:val="9"/>
              </w:rPr>
              <w:t xml:space="preserve">Discinesia tardía, síntomas obsesivo – compulsivos </w:t>
            </w:r>
          </w:p>
        </w:tc>
      </w:tr>
      <w:tr w:rsidR="004939BA" w14:paraId="5F8A6C9B" w14:textId="77777777" w:rsidTr="00A22D4A">
        <w:trPr>
          <w:trHeight w:val="214"/>
        </w:trPr>
        <w:tc>
          <w:tcPr>
            <w:tcW w:w="1875" w:type="dxa"/>
            <w:tcBorders>
              <w:top w:val="single" w:sz="2" w:space="0" w:color="373334"/>
              <w:left w:val="single" w:sz="3" w:space="0" w:color="373334"/>
              <w:bottom w:val="single" w:sz="2" w:space="0" w:color="373334"/>
              <w:right w:val="single" w:sz="2" w:space="0" w:color="373334"/>
            </w:tcBorders>
          </w:tcPr>
          <w:p w14:paraId="667B180C" w14:textId="77777777" w:rsidR="004939BA" w:rsidRDefault="004939BA" w:rsidP="00A22D4A">
            <w:pPr>
              <w:ind w:left="6"/>
            </w:pPr>
            <w:r>
              <w:rPr>
                <w:rFonts w:ascii="Arial MT" w:eastAsia="Arial MT" w:hAnsi="Arial MT" w:cs="Arial MT"/>
                <w:color w:val="373334"/>
                <w:sz w:val="9"/>
              </w:rPr>
              <w:t>Frecuencia no conocida</w:t>
            </w:r>
          </w:p>
        </w:tc>
        <w:tc>
          <w:tcPr>
            <w:tcW w:w="2088" w:type="dxa"/>
            <w:tcBorders>
              <w:top w:val="single" w:sz="2" w:space="0" w:color="373334"/>
              <w:left w:val="single" w:sz="2" w:space="0" w:color="373334"/>
              <w:bottom w:val="single" w:sz="2" w:space="0" w:color="373334"/>
              <w:right w:val="single" w:sz="2" w:space="0" w:color="373334"/>
            </w:tcBorders>
          </w:tcPr>
          <w:p w14:paraId="1B5679C6" w14:textId="77777777" w:rsidR="004939BA" w:rsidRDefault="004939BA" w:rsidP="00A22D4A">
            <w:pPr>
              <w:ind w:left="5" w:right="10"/>
            </w:pPr>
            <w:r>
              <w:rPr>
                <w:rFonts w:ascii="Arial MT" w:eastAsia="Arial MT" w:hAnsi="Arial MT" w:cs="Arial MT"/>
                <w:color w:val="373334"/>
                <w:sz w:val="9"/>
              </w:rPr>
              <w:t>Síndrome colinérgico (tras la interrupción brusca), cambios en el EEG*, pleurotótonos*</w:t>
            </w:r>
          </w:p>
        </w:tc>
      </w:tr>
      <w:tr w:rsidR="004939BA" w14:paraId="1E313537" w14:textId="77777777" w:rsidTr="00A22D4A">
        <w:trPr>
          <w:trHeight w:val="109"/>
        </w:trPr>
        <w:tc>
          <w:tcPr>
            <w:tcW w:w="3963" w:type="dxa"/>
            <w:gridSpan w:val="2"/>
            <w:tcBorders>
              <w:top w:val="single" w:sz="2" w:space="0" w:color="373334"/>
              <w:left w:val="single" w:sz="3" w:space="0" w:color="373334"/>
              <w:bottom w:val="single" w:sz="2" w:space="0" w:color="373334"/>
              <w:right w:val="single" w:sz="2" w:space="0" w:color="373334"/>
            </w:tcBorders>
          </w:tcPr>
          <w:p w14:paraId="5C7561AE" w14:textId="77777777" w:rsidR="004939BA" w:rsidRDefault="004939BA" w:rsidP="00A22D4A">
            <w:pPr>
              <w:ind w:left="6"/>
            </w:pPr>
            <w:r>
              <w:rPr>
                <w:rFonts w:ascii="Arial MT" w:eastAsia="Arial MT" w:hAnsi="Arial MT" w:cs="Arial MT"/>
                <w:b/>
                <w:color w:val="373334"/>
                <w:sz w:val="9"/>
              </w:rPr>
              <w:t>Trastornos oculares</w:t>
            </w:r>
          </w:p>
        </w:tc>
      </w:tr>
      <w:tr w:rsidR="004939BA" w14:paraId="061EE412"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60D35320" w14:textId="77777777" w:rsidR="004939BA" w:rsidRDefault="004939BA" w:rsidP="00A22D4A">
            <w:pPr>
              <w:ind w:left="6"/>
            </w:pPr>
            <w:r>
              <w:rPr>
                <w:rFonts w:ascii="Arial MT" w:eastAsia="Arial MT" w:hAnsi="Arial MT" w:cs="Arial MT"/>
                <w:color w:val="373334"/>
                <w:sz w:val="9"/>
              </w:rPr>
              <w:t>Frecuentes</w:t>
            </w:r>
          </w:p>
        </w:tc>
        <w:tc>
          <w:tcPr>
            <w:tcW w:w="2088" w:type="dxa"/>
            <w:tcBorders>
              <w:top w:val="single" w:sz="2" w:space="0" w:color="373334"/>
              <w:left w:val="single" w:sz="2" w:space="0" w:color="373334"/>
              <w:bottom w:val="single" w:sz="2" w:space="0" w:color="373334"/>
              <w:right w:val="single" w:sz="2" w:space="0" w:color="373334"/>
            </w:tcBorders>
          </w:tcPr>
          <w:p w14:paraId="2628CBCB" w14:textId="77777777" w:rsidR="004939BA" w:rsidRDefault="004939BA" w:rsidP="00A22D4A">
            <w:pPr>
              <w:ind w:left="5"/>
            </w:pPr>
            <w:r>
              <w:rPr>
                <w:rFonts w:ascii="Arial MT" w:eastAsia="Arial MT" w:hAnsi="Arial MT" w:cs="Arial MT"/>
                <w:color w:val="373334"/>
                <w:sz w:val="9"/>
              </w:rPr>
              <w:t>Visión borrosa</w:t>
            </w:r>
          </w:p>
        </w:tc>
      </w:tr>
      <w:tr w:rsidR="004939BA" w14:paraId="711C6019" w14:textId="77777777" w:rsidTr="00A22D4A">
        <w:trPr>
          <w:trHeight w:val="110"/>
        </w:trPr>
        <w:tc>
          <w:tcPr>
            <w:tcW w:w="3963" w:type="dxa"/>
            <w:gridSpan w:val="2"/>
            <w:tcBorders>
              <w:top w:val="single" w:sz="2" w:space="0" w:color="373334"/>
              <w:left w:val="single" w:sz="3" w:space="0" w:color="373334"/>
              <w:bottom w:val="single" w:sz="2" w:space="0" w:color="373334"/>
              <w:right w:val="single" w:sz="2" w:space="0" w:color="373334"/>
            </w:tcBorders>
          </w:tcPr>
          <w:p w14:paraId="6A20384A" w14:textId="77777777" w:rsidR="004939BA" w:rsidRDefault="004939BA" w:rsidP="00A22D4A">
            <w:pPr>
              <w:ind w:left="6"/>
            </w:pPr>
            <w:r>
              <w:rPr>
                <w:rFonts w:ascii="Arial MT" w:eastAsia="Arial MT" w:hAnsi="Arial MT" w:cs="Arial MT"/>
                <w:b/>
                <w:color w:val="373334"/>
                <w:sz w:val="9"/>
              </w:rPr>
              <w:t>Trastornos cardíacos</w:t>
            </w:r>
          </w:p>
        </w:tc>
      </w:tr>
      <w:tr w:rsidR="004939BA" w14:paraId="460DAE38"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689F8A87" w14:textId="77777777" w:rsidR="004939BA" w:rsidRDefault="004939BA" w:rsidP="00A22D4A">
            <w:pPr>
              <w:ind w:left="6"/>
            </w:pPr>
            <w:r>
              <w:rPr>
                <w:rFonts w:ascii="Arial MT" w:eastAsia="Arial MT" w:hAnsi="Arial MT" w:cs="Arial MT"/>
                <w:color w:val="373334"/>
                <w:sz w:val="9"/>
              </w:rPr>
              <w:t>Muy frecuentes</w:t>
            </w:r>
          </w:p>
        </w:tc>
        <w:tc>
          <w:tcPr>
            <w:tcW w:w="2088" w:type="dxa"/>
            <w:tcBorders>
              <w:top w:val="single" w:sz="2" w:space="0" w:color="373334"/>
              <w:left w:val="single" w:sz="2" w:space="0" w:color="373334"/>
              <w:bottom w:val="single" w:sz="2" w:space="0" w:color="373334"/>
              <w:right w:val="single" w:sz="2" w:space="0" w:color="373334"/>
            </w:tcBorders>
          </w:tcPr>
          <w:p w14:paraId="4B92492A" w14:textId="77777777" w:rsidR="004939BA" w:rsidRDefault="004939BA" w:rsidP="00A22D4A">
            <w:pPr>
              <w:ind w:left="5"/>
            </w:pPr>
            <w:r>
              <w:rPr>
                <w:rFonts w:ascii="Arial MT" w:eastAsia="Arial MT" w:hAnsi="Arial MT" w:cs="Arial MT"/>
                <w:color w:val="373334"/>
                <w:sz w:val="9"/>
              </w:rPr>
              <w:t>Taquicardia</w:t>
            </w:r>
          </w:p>
        </w:tc>
      </w:tr>
      <w:tr w:rsidR="004939BA" w14:paraId="7555513D"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15E16BA5" w14:textId="77777777" w:rsidR="004939BA" w:rsidRDefault="004939BA" w:rsidP="00A22D4A">
            <w:pPr>
              <w:ind w:left="6"/>
            </w:pPr>
            <w:r>
              <w:rPr>
                <w:rFonts w:ascii="Arial MT" w:eastAsia="Arial MT" w:hAnsi="Arial MT" w:cs="Arial MT"/>
                <w:color w:val="373334"/>
                <w:sz w:val="9"/>
              </w:rPr>
              <w:t>Frecuentes</w:t>
            </w:r>
          </w:p>
        </w:tc>
        <w:tc>
          <w:tcPr>
            <w:tcW w:w="2088" w:type="dxa"/>
            <w:tcBorders>
              <w:top w:val="single" w:sz="2" w:space="0" w:color="373334"/>
              <w:left w:val="single" w:sz="2" w:space="0" w:color="373334"/>
              <w:bottom w:val="single" w:sz="2" w:space="0" w:color="373334"/>
              <w:right w:val="single" w:sz="2" w:space="0" w:color="373334"/>
            </w:tcBorders>
          </w:tcPr>
          <w:p w14:paraId="03EB4F7E" w14:textId="77777777" w:rsidR="004939BA" w:rsidRDefault="004939BA" w:rsidP="00A22D4A">
            <w:pPr>
              <w:ind w:left="5"/>
            </w:pPr>
            <w:r>
              <w:rPr>
                <w:rFonts w:ascii="Arial MT" w:eastAsia="Arial MT" w:hAnsi="Arial MT" w:cs="Arial MT"/>
                <w:color w:val="373334"/>
                <w:sz w:val="9"/>
              </w:rPr>
              <w:t>Cambios en el ECG</w:t>
            </w:r>
          </w:p>
        </w:tc>
      </w:tr>
      <w:tr w:rsidR="004939BA" w14:paraId="59D4FCEC" w14:textId="77777777" w:rsidTr="00A22D4A">
        <w:trPr>
          <w:trHeight w:val="214"/>
        </w:trPr>
        <w:tc>
          <w:tcPr>
            <w:tcW w:w="1875" w:type="dxa"/>
            <w:tcBorders>
              <w:top w:val="single" w:sz="2" w:space="0" w:color="373334"/>
              <w:left w:val="single" w:sz="3" w:space="0" w:color="373334"/>
              <w:bottom w:val="single" w:sz="2" w:space="0" w:color="373334"/>
              <w:right w:val="single" w:sz="2" w:space="0" w:color="373334"/>
            </w:tcBorders>
          </w:tcPr>
          <w:p w14:paraId="651A8167" w14:textId="77777777" w:rsidR="004939BA" w:rsidRDefault="004939BA" w:rsidP="00A22D4A">
            <w:pPr>
              <w:ind w:left="6"/>
            </w:pPr>
            <w:r>
              <w:rPr>
                <w:rFonts w:ascii="Arial MT" w:eastAsia="Arial MT" w:hAnsi="Arial MT" w:cs="Arial MT"/>
                <w:color w:val="373334"/>
                <w:sz w:val="9"/>
              </w:rPr>
              <w:t>Raros</w:t>
            </w:r>
          </w:p>
        </w:tc>
        <w:tc>
          <w:tcPr>
            <w:tcW w:w="2088" w:type="dxa"/>
            <w:tcBorders>
              <w:top w:val="single" w:sz="2" w:space="0" w:color="373334"/>
              <w:left w:val="single" w:sz="2" w:space="0" w:color="373334"/>
              <w:bottom w:val="single" w:sz="2" w:space="0" w:color="373334"/>
              <w:right w:val="single" w:sz="2" w:space="0" w:color="373334"/>
            </w:tcBorders>
          </w:tcPr>
          <w:p w14:paraId="44E32A27" w14:textId="77777777" w:rsidR="004939BA" w:rsidRDefault="004939BA" w:rsidP="00A22D4A">
            <w:pPr>
              <w:ind w:left="5"/>
            </w:pPr>
            <w:r>
              <w:rPr>
                <w:rFonts w:ascii="Arial MT" w:eastAsia="Arial MT" w:hAnsi="Arial MT" w:cs="Arial MT"/>
                <w:color w:val="373334"/>
                <w:sz w:val="9"/>
              </w:rPr>
              <w:t>Colapso circulatorio, arritmias, miocarditis, pericarditis/efusión pericárdica</w:t>
            </w:r>
          </w:p>
        </w:tc>
      </w:tr>
      <w:tr w:rsidR="004939BA" w14:paraId="3416D7C5"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5AF7D302" w14:textId="77777777" w:rsidR="004939BA" w:rsidRDefault="004939BA" w:rsidP="00A22D4A">
            <w:pPr>
              <w:ind w:left="6"/>
            </w:pPr>
            <w:r>
              <w:rPr>
                <w:rFonts w:ascii="Arial MT" w:eastAsia="Arial MT" w:hAnsi="Arial MT" w:cs="Arial MT"/>
                <w:color w:val="373334"/>
                <w:sz w:val="9"/>
              </w:rPr>
              <w:t>Muy raros</w:t>
            </w:r>
          </w:p>
        </w:tc>
        <w:tc>
          <w:tcPr>
            <w:tcW w:w="2088" w:type="dxa"/>
            <w:tcBorders>
              <w:top w:val="single" w:sz="2" w:space="0" w:color="373334"/>
              <w:left w:val="single" w:sz="2" w:space="0" w:color="373334"/>
              <w:bottom w:val="single" w:sz="2" w:space="0" w:color="373334"/>
              <w:right w:val="single" w:sz="2" w:space="0" w:color="373334"/>
            </w:tcBorders>
          </w:tcPr>
          <w:p w14:paraId="7066D56E" w14:textId="77777777" w:rsidR="004939BA" w:rsidRDefault="004939BA" w:rsidP="00A22D4A">
            <w:pPr>
              <w:ind w:left="5"/>
            </w:pPr>
            <w:r>
              <w:rPr>
                <w:rFonts w:ascii="Arial MT" w:eastAsia="Arial MT" w:hAnsi="Arial MT" w:cs="Arial MT"/>
                <w:color w:val="373334"/>
                <w:sz w:val="9"/>
              </w:rPr>
              <w:t>Cardiomiopatía, paro cardíaco</w:t>
            </w:r>
          </w:p>
        </w:tc>
      </w:tr>
      <w:tr w:rsidR="004939BA" w14:paraId="79D638DC" w14:textId="77777777" w:rsidTr="00A22D4A">
        <w:trPr>
          <w:trHeight w:val="634"/>
        </w:trPr>
        <w:tc>
          <w:tcPr>
            <w:tcW w:w="1875" w:type="dxa"/>
            <w:tcBorders>
              <w:top w:val="single" w:sz="2" w:space="0" w:color="373334"/>
              <w:left w:val="single" w:sz="3" w:space="0" w:color="373334"/>
              <w:bottom w:val="single" w:sz="2" w:space="0" w:color="373334"/>
              <w:right w:val="single" w:sz="2" w:space="0" w:color="373334"/>
            </w:tcBorders>
          </w:tcPr>
          <w:p w14:paraId="6B606F50" w14:textId="77777777" w:rsidR="004939BA" w:rsidRDefault="004939BA" w:rsidP="00A22D4A">
            <w:pPr>
              <w:ind w:left="6"/>
            </w:pPr>
            <w:r>
              <w:rPr>
                <w:rFonts w:ascii="Arial MT" w:eastAsia="Arial MT" w:hAnsi="Arial MT" w:cs="Arial MT"/>
                <w:color w:val="373334"/>
                <w:sz w:val="9"/>
              </w:rPr>
              <w:t>Frecuencia no conocida</w:t>
            </w:r>
          </w:p>
        </w:tc>
        <w:tc>
          <w:tcPr>
            <w:tcW w:w="2088" w:type="dxa"/>
            <w:tcBorders>
              <w:top w:val="single" w:sz="2" w:space="0" w:color="373334"/>
              <w:left w:val="single" w:sz="2" w:space="0" w:color="373334"/>
              <w:bottom w:val="single" w:sz="2" w:space="0" w:color="373334"/>
              <w:right w:val="single" w:sz="2" w:space="0" w:color="373334"/>
            </w:tcBorders>
          </w:tcPr>
          <w:p w14:paraId="6D9B4C97" w14:textId="77777777" w:rsidR="004939BA" w:rsidRDefault="004939BA" w:rsidP="00A22D4A">
            <w:pPr>
              <w:ind w:left="5"/>
            </w:pPr>
            <w:r>
              <w:rPr>
                <w:rFonts w:ascii="Arial MT" w:eastAsia="Arial MT" w:hAnsi="Arial MT" w:cs="Arial MT"/>
                <w:color w:val="373334"/>
                <w:sz w:val="9"/>
              </w:rPr>
              <w:t>Infarto de miocardio que puede ser a veces mortal, miocarditis que puede ser a veces mortal, dolor torácico/angina de pecho, fibrilación atrial, palpitaciones, incapacidad de la válvula mitral asociada con la cardiomiopatia presentada con el uso de clozapina.</w:t>
            </w:r>
          </w:p>
        </w:tc>
      </w:tr>
      <w:tr w:rsidR="004939BA" w14:paraId="5404E34C" w14:textId="77777777" w:rsidTr="00A22D4A">
        <w:trPr>
          <w:trHeight w:val="110"/>
        </w:trPr>
        <w:tc>
          <w:tcPr>
            <w:tcW w:w="1875" w:type="dxa"/>
            <w:tcBorders>
              <w:top w:val="single" w:sz="2" w:space="0" w:color="373334"/>
              <w:left w:val="single" w:sz="3" w:space="0" w:color="373334"/>
              <w:bottom w:val="single" w:sz="2" w:space="0" w:color="373334"/>
              <w:right w:val="single" w:sz="2" w:space="0" w:color="373334"/>
            </w:tcBorders>
          </w:tcPr>
          <w:p w14:paraId="2A504171" w14:textId="77777777" w:rsidR="004939BA" w:rsidRDefault="004939BA" w:rsidP="00A22D4A">
            <w:pPr>
              <w:ind w:left="6"/>
            </w:pPr>
            <w:r>
              <w:rPr>
                <w:rFonts w:ascii="Arial MT" w:eastAsia="Arial MT" w:hAnsi="Arial MT" w:cs="Arial MT"/>
                <w:b/>
                <w:color w:val="373334"/>
                <w:sz w:val="9"/>
              </w:rPr>
              <w:t>Trastornos vasculares</w:t>
            </w:r>
          </w:p>
        </w:tc>
        <w:tc>
          <w:tcPr>
            <w:tcW w:w="2088" w:type="dxa"/>
            <w:tcBorders>
              <w:top w:val="single" w:sz="2" w:space="0" w:color="373334"/>
              <w:left w:val="single" w:sz="2" w:space="0" w:color="373334"/>
              <w:bottom w:val="single" w:sz="2" w:space="0" w:color="373334"/>
              <w:right w:val="single" w:sz="2" w:space="0" w:color="373334"/>
            </w:tcBorders>
          </w:tcPr>
          <w:p w14:paraId="63EB46B8" w14:textId="77777777" w:rsidR="004939BA" w:rsidRDefault="004939BA" w:rsidP="00A22D4A"/>
        </w:tc>
      </w:tr>
      <w:tr w:rsidR="004939BA" w14:paraId="32A34056"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5A90CE5F" w14:textId="77777777" w:rsidR="004939BA" w:rsidRDefault="004939BA" w:rsidP="00A22D4A">
            <w:pPr>
              <w:ind w:left="6"/>
            </w:pPr>
            <w:r>
              <w:rPr>
                <w:rFonts w:ascii="Arial MT" w:eastAsia="Arial MT" w:hAnsi="Arial MT" w:cs="Arial MT"/>
                <w:color w:val="373334"/>
                <w:sz w:val="9"/>
              </w:rPr>
              <w:t>Frecuentes</w:t>
            </w:r>
          </w:p>
        </w:tc>
        <w:tc>
          <w:tcPr>
            <w:tcW w:w="2088" w:type="dxa"/>
            <w:tcBorders>
              <w:top w:val="single" w:sz="2" w:space="0" w:color="373334"/>
              <w:left w:val="single" w:sz="2" w:space="0" w:color="373334"/>
              <w:bottom w:val="single" w:sz="2" w:space="0" w:color="373334"/>
              <w:right w:val="single" w:sz="2" w:space="0" w:color="373334"/>
            </w:tcBorders>
          </w:tcPr>
          <w:p w14:paraId="004A04B5" w14:textId="77777777" w:rsidR="004939BA" w:rsidRDefault="004939BA" w:rsidP="00A22D4A">
            <w:pPr>
              <w:ind w:left="5"/>
            </w:pPr>
            <w:r>
              <w:rPr>
                <w:rFonts w:ascii="Arial MT" w:eastAsia="Arial MT" w:hAnsi="Arial MT" w:cs="Arial MT"/>
                <w:color w:val="373334"/>
                <w:sz w:val="9"/>
              </w:rPr>
              <w:t>Hipertensión, hipotensión postural, síncope</w:t>
            </w:r>
          </w:p>
        </w:tc>
      </w:tr>
      <w:tr w:rsidR="004939BA" w14:paraId="2F5FCC45"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3BE80001" w14:textId="77777777" w:rsidR="004939BA" w:rsidRDefault="004939BA" w:rsidP="00A22D4A">
            <w:pPr>
              <w:ind w:left="6"/>
            </w:pPr>
            <w:r>
              <w:rPr>
                <w:rFonts w:ascii="Arial MT" w:eastAsia="Arial MT" w:hAnsi="Arial MT" w:cs="Arial MT"/>
                <w:color w:val="373334"/>
                <w:sz w:val="9"/>
              </w:rPr>
              <w:t>Raros</w:t>
            </w:r>
          </w:p>
        </w:tc>
        <w:tc>
          <w:tcPr>
            <w:tcW w:w="2088" w:type="dxa"/>
            <w:tcBorders>
              <w:top w:val="single" w:sz="2" w:space="0" w:color="373334"/>
              <w:left w:val="single" w:sz="2" w:space="0" w:color="373334"/>
              <w:bottom w:val="single" w:sz="2" w:space="0" w:color="373334"/>
              <w:right w:val="single" w:sz="2" w:space="0" w:color="373334"/>
            </w:tcBorders>
          </w:tcPr>
          <w:p w14:paraId="4E5509A5" w14:textId="77777777" w:rsidR="004939BA" w:rsidRDefault="004939BA" w:rsidP="00A22D4A">
            <w:pPr>
              <w:ind w:left="5"/>
            </w:pPr>
            <w:r>
              <w:rPr>
                <w:rFonts w:ascii="Arial MT" w:eastAsia="Arial MT" w:hAnsi="Arial MT" w:cs="Arial MT"/>
                <w:color w:val="373334"/>
                <w:sz w:val="9"/>
              </w:rPr>
              <w:t>Tromboembolismo</w:t>
            </w:r>
          </w:p>
        </w:tc>
      </w:tr>
      <w:tr w:rsidR="004939BA" w14:paraId="0A7865A6"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092C37EE" w14:textId="77777777" w:rsidR="004939BA" w:rsidRDefault="004939BA" w:rsidP="00A22D4A">
            <w:pPr>
              <w:ind w:left="6"/>
            </w:pPr>
            <w:r>
              <w:rPr>
                <w:rFonts w:ascii="Arial MT" w:eastAsia="Arial MT" w:hAnsi="Arial MT" w:cs="Arial MT"/>
                <w:color w:val="373334"/>
                <w:sz w:val="9"/>
              </w:rPr>
              <w:t>No conocida</w:t>
            </w:r>
          </w:p>
        </w:tc>
        <w:tc>
          <w:tcPr>
            <w:tcW w:w="2088" w:type="dxa"/>
            <w:tcBorders>
              <w:top w:val="single" w:sz="2" w:space="0" w:color="373334"/>
              <w:left w:val="single" w:sz="2" w:space="0" w:color="373334"/>
              <w:bottom w:val="single" w:sz="2" w:space="0" w:color="373334"/>
              <w:right w:val="single" w:sz="2" w:space="0" w:color="373334"/>
            </w:tcBorders>
          </w:tcPr>
          <w:p w14:paraId="006A562B" w14:textId="77777777" w:rsidR="004939BA" w:rsidRDefault="004939BA" w:rsidP="00A22D4A">
            <w:pPr>
              <w:ind w:left="5"/>
            </w:pPr>
            <w:r>
              <w:rPr>
                <w:rFonts w:ascii="Arial MT" w:eastAsia="Arial MT" w:hAnsi="Arial MT" w:cs="Arial MT"/>
                <w:color w:val="373334"/>
                <w:sz w:val="9"/>
              </w:rPr>
              <w:t>Hipotensión, Tromboembolismo venoso</w:t>
            </w:r>
          </w:p>
        </w:tc>
      </w:tr>
      <w:tr w:rsidR="004939BA" w14:paraId="0184EC4A" w14:textId="77777777" w:rsidTr="00A22D4A">
        <w:trPr>
          <w:trHeight w:val="109"/>
        </w:trPr>
        <w:tc>
          <w:tcPr>
            <w:tcW w:w="3963" w:type="dxa"/>
            <w:gridSpan w:val="2"/>
            <w:tcBorders>
              <w:top w:val="single" w:sz="2" w:space="0" w:color="373334"/>
              <w:left w:val="single" w:sz="3" w:space="0" w:color="373334"/>
              <w:bottom w:val="single" w:sz="2" w:space="0" w:color="373334"/>
              <w:right w:val="single" w:sz="2" w:space="0" w:color="373334"/>
            </w:tcBorders>
          </w:tcPr>
          <w:p w14:paraId="47E0435C" w14:textId="77777777" w:rsidR="004939BA" w:rsidRDefault="004939BA" w:rsidP="00A22D4A">
            <w:pPr>
              <w:ind w:left="6"/>
            </w:pPr>
            <w:r>
              <w:rPr>
                <w:rFonts w:ascii="Arial MT" w:eastAsia="Arial MT" w:hAnsi="Arial MT" w:cs="Arial MT"/>
                <w:b/>
                <w:color w:val="373334"/>
                <w:sz w:val="9"/>
              </w:rPr>
              <w:t>Trastornos respiratorios, torácicos y mediastínicos</w:t>
            </w:r>
          </w:p>
        </w:tc>
      </w:tr>
      <w:tr w:rsidR="004939BA" w14:paraId="3A8E4981" w14:textId="77777777" w:rsidTr="00A22D4A">
        <w:trPr>
          <w:trHeight w:val="424"/>
        </w:trPr>
        <w:tc>
          <w:tcPr>
            <w:tcW w:w="1875" w:type="dxa"/>
            <w:tcBorders>
              <w:top w:val="single" w:sz="2" w:space="0" w:color="373334"/>
              <w:left w:val="single" w:sz="3" w:space="0" w:color="373334"/>
              <w:bottom w:val="single" w:sz="2" w:space="0" w:color="373334"/>
              <w:right w:val="single" w:sz="2" w:space="0" w:color="373334"/>
            </w:tcBorders>
          </w:tcPr>
          <w:p w14:paraId="6369962B" w14:textId="77777777" w:rsidR="004939BA" w:rsidRDefault="004939BA" w:rsidP="00A22D4A">
            <w:pPr>
              <w:ind w:left="6"/>
            </w:pPr>
            <w:r>
              <w:rPr>
                <w:rFonts w:ascii="Arial MT" w:eastAsia="Arial MT" w:hAnsi="Arial MT" w:cs="Arial MT"/>
                <w:color w:val="373334"/>
                <w:sz w:val="9"/>
              </w:rPr>
              <w:t>Raros</w:t>
            </w:r>
          </w:p>
        </w:tc>
        <w:tc>
          <w:tcPr>
            <w:tcW w:w="2088" w:type="dxa"/>
            <w:tcBorders>
              <w:top w:val="single" w:sz="2" w:space="0" w:color="373334"/>
              <w:left w:val="single" w:sz="2" w:space="0" w:color="373334"/>
              <w:bottom w:val="single" w:sz="2" w:space="0" w:color="373334"/>
              <w:right w:val="single" w:sz="2" w:space="0" w:color="373334"/>
            </w:tcBorders>
          </w:tcPr>
          <w:p w14:paraId="64B2CDCE" w14:textId="77777777" w:rsidR="004939BA" w:rsidRDefault="004939BA" w:rsidP="00A22D4A">
            <w:pPr>
              <w:ind w:left="5"/>
            </w:pPr>
            <w:r>
              <w:rPr>
                <w:rFonts w:ascii="Arial MT" w:eastAsia="Arial MT" w:hAnsi="Arial MT" w:cs="Arial MT"/>
                <w:color w:val="373334"/>
                <w:sz w:val="9"/>
              </w:rPr>
              <w:t>Aspiración de alimentos ingeridos, neumonía e infecciones del tracto respiratorio inferior que pueden ser mortales, síndrome de la apnea del sueño.</w:t>
            </w:r>
          </w:p>
        </w:tc>
      </w:tr>
      <w:tr w:rsidR="004939BA" w14:paraId="3825FC89"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7FA6A264" w14:textId="77777777" w:rsidR="004939BA" w:rsidRDefault="004939BA" w:rsidP="00A22D4A">
            <w:pPr>
              <w:ind w:left="6"/>
            </w:pPr>
            <w:r>
              <w:rPr>
                <w:rFonts w:ascii="Arial MT" w:eastAsia="Arial MT" w:hAnsi="Arial MT" w:cs="Arial MT"/>
                <w:color w:val="373334"/>
                <w:sz w:val="9"/>
              </w:rPr>
              <w:t>Muy raros</w:t>
            </w:r>
          </w:p>
        </w:tc>
        <w:tc>
          <w:tcPr>
            <w:tcW w:w="2088" w:type="dxa"/>
            <w:tcBorders>
              <w:top w:val="single" w:sz="2" w:space="0" w:color="373334"/>
              <w:left w:val="single" w:sz="2" w:space="0" w:color="373334"/>
              <w:bottom w:val="single" w:sz="2" w:space="0" w:color="373334"/>
              <w:right w:val="single" w:sz="2" w:space="0" w:color="373334"/>
            </w:tcBorders>
          </w:tcPr>
          <w:p w14:paraId="36B0CFF0" w14:textId="77777777" w:rsidR="004939BA" w:rsidRDefault="004939BA" w:rsidP="00A22D4A">
            <w:pPr>
              <w:ind w:left="5"/>
            </w:pPr>
            <w:r>
              <w:rPr>
                <w:rFonts w:ascii="Arial MT" w:eastAsia="Arial MT" w:hAnsi="Arial MT" w:cs="Arial MT"/>
                <w:color w:val="373334"/>
                <w:sz w:val="9"/>
              </w:rPr>
              <w:t>Depresión respiratoria/colapso respiratorio</w:t>
            </w:r>
          </w:p>
        </w:tc>
      </w:tr>
      <w:tr w:rsidR="004939BA" w14:paraId="7E067375"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2455DF26" w14:textId="77777777" w:rsidR="004939BA" w:rsidRDefault="004939BA" w:rsidP="00A22D4A">
            <w:pPr>
              <w:ind w:left="6"/>
            </w:pPr>
            <w:r>
              <w:rPr>
                <w:rFonts w:ascii="Arial MT" w:eastAsia="Arial MT" w:hAnsi="Arial MT" w:cs="Arial MT"/>
                <w:color w:val="373334"/>
                <w:sz w:val="9"/>
              </w:rPr>
              <w:t>Frecuencia no conocida</w:t>
            </w:r>
          </w:p>
        </w:tc>
        <w:tc>
          <w:tcPr>
            <w:tcW w:w="2088" w:type="dxa"/>
            <w:tcBorders>
              <w:top w:val="single" w:sz="2" w:space="0" w:color="373334"/>
              <w:left w:val="single" w:sz="2" w:space="0" w:color="373334"/>
              <w:bottom w:val="single" w:sz="2" w:space="0" w:color="373334"/>
              <w:right w:val="single" w:sz="2" w:space="0" w:color="373334"/>
            </w:tcBorders>
          </w:tcPr>
          <w:p w14:paraId="0D5E844F" w14:textId="77777777" w:rsidR="004939BA" w:rsidRDefault="004939BA" w:rsidP="00A22D4A">
            <w:pPr>
              <w:ind w:left="5"/>
            </w:pPr>
            <w:r>
              <w:rPr>
                <w:rFonts w:ascii="Arial MT" w:eastAsia="Arial MT" w:hAnsi="Arial MT" w:cs="Arial MT"/>
                <w:color w:val="373334"/>
                <w:sz w:val="9"/>
              </w:rPr>
              <w:t>Derrame pleural, congestión nasal*</w:t>
            </w:r>
          </w:p>
        </w:tc>
      </w:tr>
      <w:tr w:rsidR="004939BA" w14:paraId="7F52B0EA" w14:textId="77777777" w:rsidTr="00A22D4A">
        <w:trPr>
          <w:trHeight w:val="109"/>
        </w:trPr>
        <w:tc>
          <w:tcPr>
            <w:tcW w:w="3963" w:type="dxa"/>
            <w:gridSpan w:val="2"/>
            <w:tcBorders>
              <w:top w:val="single" w:sz="2" w:space="0" w:color="373334"/>
              <w:left w:val="single" w:sz="3" w:space="0" w:color="373334"/>
              <w:bottom w:val="single" w:sz="2" w:space="0" w:color="373334"/>
              <w:right w:val="single" w:sz="3" w:space="0" w:color="373334"/>
            </w:tcBorders>
          </w:tcPr>
          <w:p w14:paraId="58884883" w14:textId="77777777" w:rsidR="004939BA" w:rsidRDefault="004939BA" w:rsidP="00A22D4A">
            <w:pPr>
              <w:ind w:left="5"/>
            </w:pPr>
            <w:r>
              <w:rPr>
                <w:rFonts w:ascii="Arial MT" w:eastAsia="Arial MT" w:hAnsi="Arial MT" w:cs="Arial MT"/>
                <w:b/>
                <w:color w:val="373334"/>
                <w:sz w:val="9"/>
              </w:rPr>
              <w:t>Trastornos gastrointestinales</w:t>
            </w:r>
          </w:p>
        </w:tc>
      </w:tr>
      <w:tr w:rsidR="004939BA" w14:paraId="0FD080FE" w14:textId="77777777" w:rsidTr="00A22D4A">
        <w:trPr>
          <w:trHeight w:val="110"/>
        </w:trPr>
        <w:tc>
          <w:tcPr>
            <w:tcW w:w="1875" w:type="dxa"/>
            <w:tcBorders>
              <w:top w:val="single" w:sz="2" w:space="0" w:color="373334"/>
              <w:left w:val="single" w:sz="3" w:space="0" w:color="373334"/>
              <w:bottom w:val="single" w:sz="2" w:space="0" w:color="373334"/>
              <w:right w:val="single" w:sz="2" w:space="0" w:color="373334"/>
            </w:tcBorders>
          </w:tcPr>
          <w:p w14:paraId="2259ED5B" w14:textId="77777777" w:rsidR="004939BA" w:rsidRDefault="004939BA" w:rsidP="00A22D4A">
            <w:pPr>
              <w:ind w:left="5"/>
            </w:pPr>
            <w:r>
              <w:rPr>
                <w:rFonts w:ascii="Arial MT" w:eastAsia="Arial MT" w:hAnsi="Arial MT" w:cs="Arial MT"/>
                <w:color w:val="373334"/>
                <w:sz w:val="9"/>
              </w:rPr>
              <w:t>Muy frecuentes</w:t>
            </w:r>
          </w:p>
        </w:tc>
        <w:tc>
          <w:tcPr>
            <w:tcW w:w="2088" w:type="dxa"/>
            <w:tcBorders>
              <w:top w:val="single" w:sz="2" w:space="0" w:color="373334"/>
              <w:left w:val="single" w:sz="2" w:space="0" w:color="373334"/>
              <w:bottom w:val="single" w:sz="2" w:space="0" w:color="373334"/>
              <w:right w:val="single" w:sz="3" w:space="0" w:color="373334"/>
            </w:tcBorders>
          </w:tcPr>
          <w:p w14:paraId="6EF388B5" w14:textId="77777777" w:rsidR="004939BA" w:rsidRDefault="004939BA" w:rsidP="00A22D4A">
            <w:pPr>
              <w:ind w:left="5"/>
            </w:pPr>
            <w:r>
              <w:rPr>
                <w:rFonts w:ascii="Arial MT" w:eastAsia="Arial MT" w:hAnsi="Arial MT" w:cs="Arial MT"/>
                <w:color w:val="373334"/>
                <w:sz w:val="9"/>
              </w:rPr>
              <w:t>Estreñimiento, hipersalivación</w:t>
            </w:r>
          </w:p>
        </w:tc>
      </w:tr>
      <w:tr w:rsidR="004939BA" w14:paraId="4439FC4F"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4CF13FDA" w14:textId="77777777" w:rsidR="004939BA" w:rsidRDefault="004939BA" w:rsidP="00A22D4A">
            <w:pPr>
              <w:ind w:left="5"/>
            </w:pPr>
            <w:r>
              <w:rPr>
                <w:rFonts w:ascii="Arial MT" w:eastAsia="Arial MT" w:hAnsi="Arial MT" w:cs="Arial MT"/>
                <w:color w:val="373334"/>
                <w:sz w:val="9"/>
              </w:rPr>
              <w:t>Frecuentes</w:t>
            </w:r>
          </w:p>
        </w:tc>
        <w:tc>
          <w:tcPr>
            <w:tcW w:w="2088" w:type="dxa"/>
            <w:tcBorders>
              <w:top w:val="single" w:sz="2" w:space="0" w:color="373334"/>
              <w:left w:val="single" w:sz="2" w:space="0" w:color="373334"/>
              <w:bottom w:val="single" w:sz="2" w:space="0" w:color="373334"/>
              <w:right w:val="single" w:sz="3" w:space="0" w:color="373334"/>
            </w:tcBorders>
          </w:tcPr>
          <w:p w14:paraId="5E2B7525" w14:textId="77777777" w:rsidR="004939BA" w:rsidRDefault="004939BA" w:rsidP="00A22D4A">
            <w:pPr>
              <w:ind w:left="5"/>
            </w:pPr>
            <w:r>
              <w:rPr>
                <w:rFonts w:ascii="Arial MT" w:eastAsia="Arial MT" w:hAnsi="Arial MT" w:cs="Arial MT"/>
                <w:color w:val="373334"/>
                <w:sz w:val="9"/>
              </w:rPr>
              <w:t>Náuseas, vómitos, anorexia, sequedad de boca</w:t>
            </w:r>
          </w:p>
        </w:tc>
      </w:tr>
      <w:tr w:rsidR="004939BA" w14:paraId="5E3316B1"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7F9143CD" w14:textId="77777777" w:rsidR="004939BA" w:rsidRDefault="004939BA" w:rsidP="00A22D4A">
            <w:pPr>
              <w:ind w:left="5"/>
            </w:pPr>
            <w:r>
              <w:rPr>
                <w:rFonts w:ascii="Arial MT" w:eastAsia="Arial MT" w:hAnsi="Arial MT" w:cs="Arial MT"/>
                <w:color w:val="373334"/>
                <w:sz w:val="9"/>
              </w:rPr>
              <w:t>Raros</w:t>
            </w:r>
          </w:p>
        </w:tc>
        <w:tc>
          <w:tcPr>
            <w:tcW w:w="2088" w:type="dxa"/>
            <w:tcBorders>
              <w:top w:val="single" w:sz="2" w:space="0" w:color="373334"/>
              <w:left w:val="single" w:sz="2" w:space="0" w:color="373334"/>
              <w:bottom w:val="single" w:sz="2" w:space="0" w:color="373334"/>
              <w:right w:val="single" w:sz="3" w:space="0" w:color="373334"/>
            </w:tcBorders>
          </w:tcPr>
          <w:p w14:paraId="02E31F44" w14:textId="77777777" w:rsidR="004939BA" w:rsidRDefault="004939BA" w:rsidP="00A22D4A">
            <w:pPr>
              <w:ind w:left="5"/>
            </w:pPr>
            <w:r>
              <w:rPr>
                <w:rFonts w:ascii="Arial MT" w:eastAsia="Arial MT" w:hAnsi="Arial MT" w:cs="Arial MT"/>
                <w:color w:val="373334"/>
                <w:sz w:val="9"/>
              </w:rPr>
              <w:t>Disfagia</w:t>
            </w:r>
          </w:p>
        </w:tc>
      </w:tr>
      <w:tr w:rsidR="004939BA" w14:paraId="44907B30" w14:textId="77777777" w:rsidTr="00A22D4A">
        <w:trPr>
          <w:trHeight w:val="214"/>
        </w:trPr>
        <w:tc>
          <w:tcPr>
            <w:tcW w:w="1875" w:type="dxa"/>
            <w:tcBorders>
              <w:top w:val="single" w:sz="2" w:space="0" w:color="373334"/>
              <w:left w:val="single" w:sz="3" w:space="0" w:color="373334"/>
              <w:bottom w:val="single" w:sz="2" w:space="0" w:color="373334"/>
              <w:right w:val="single" w:sz="2" w:space="0" w:color="373334"/>
            </w:tcBorders>
          </w:tcPr>
          <w:p w14:paraId="68FA7DD6" w14:textId="77777777" w:rsidR="004939BA" w:rsidRDefault="004939BA" w:rsidP="00A22D4A">
            <w:pPr>
              <w:ind w:left="5"/>
            </w:pPr>
            <w:r>
              <w:rPr>
                <w:rFonts w:ascii="Arial MT" w:eastAsia="Arial MT" w:hAnsi="Arial MT" w:cs="Arial MT"/>
                <w:color w:val="373334"/>
                <w:sz w:val="9"/>
              </w:rPr>
              <w:t>Muy raras</w:t>
            </w:r>
          </w:p>
        </w:tc>
        <w:tc>
          <w:tcPr>
            <w:tcW w:w="2088" w:type="dxa"/>
            <w:tcBorders>
              <w:top w:val="single" w:sz="2" w:space="0" w:color="373334"/>
              <w:left w:val="single" w:sz="2" w:space="0" w:color="373334"/>
              <w:bottom w:val="single" w:sz="2" w:space="0" w:color="373334"/>
              <w:right w:val="single" w:sz="3" w:space="0" w:color="373334"/>
            </w:tcBorders>
          </w:tcPr>
          <w:p w14:paraId="6CBA5D0C" w14:textId="77777777" w:rsidR="004939BA" w:rsidRDefault="004939BA" w:rsidP="00A22D4A">
            <w:pPr>
              <w:ind w:left="5"/>
            </w:pPr>
            <w:r>
              <w:rPr>
                <w:rFonts w:ascii="Arial MT" w:eastAsia="Arial MT" w:hAnsi="Arial MT" w:cs="Arial MT"/>
                <w:color w:val="373334"/>
                <w:sz w:val="9"/>
              </w:rPr>
              <w:t>Obstrucción intestinal/íleo paralítico/impactación fecal, crecimiento de la glándula parótida</w:t>
            </w:r>
          </w:p>
        </w:tc>
      </w:tr>
      <w:tr w:rsidR="004939BA" w14:paraId="0CE0CA15" w14:textId="77777777" w:rsidTr="00A22D4A">
        <w:trPr>
          <w:trHeight w:val="425"/>
        </w:trPr>
        <w:tc>
          <w:tcPr>
            <w:tcW w:w="1875" w:type="dxa"/>
            <w:tcBorders>
              <w:top w:val="single" w:sz="2" w:space="0" w:color="373334"/>
              <w:left w:val="single" w:sz="3" w:space="0" w:color="373334"/>
              <w:bottom w:val="single" w:sz="3" w:space="0" w:color="373334"/>
              <w:right w:val="single" w:sz="2" w:space="0" w:color="373334"/>
            </w:tcBorders>
          </w:tcPr>
          <w:p w14:paraId="75D2B494" w14:textId="77777777" w:rsidR="004939BA" w:rsidRDefault="004939BA" w:rsidP="00A22D4A">
            <w:pPr>
              <w:ind w:left="5"/>
            </w:pPr>
            <w:r>
              <w:rPr>
                <w:rFonts w:ascii="Arial MT" w:eastAsia="Arial MT" w:hAnsi="Arial MT" w:cs="Arial MT"/>
                <w:color w:val="373334"/>
                <w:sz w:val="9"/>
              </w:rPr>
              <w:t>Frecuencia no conocida</w:t>
            </w:r>
          </w:p>
        </w:tc>
        <w:tc>
          <w:tcPr>
            <w:tcW w:w="2088" w:type="dxa"/>
            <w:tcBorders>
              <w:top w:val="single" w:sz="2" w:space="0" w:color="373334"/>
              <w:left w:val="single" w:sz="2" w:space="0" w:color="373334"/>
              <w:bottom w:val="single" w:sz="3" w:space="0" w:color="373334"/>
              <w:right w:val="single" w:sz="3" w:space="0" w:color="373334"/>
            </w:tcBorders>
          </w:tcPr>
          <w:p w14:paraId="2F66914C" w14:textId="77777777" w:rsidR="004939BA" w:rsidRDefault="004939BA" w:rsidP="00A22D4A">
            <w:pPr>
              <w:ind w:left="5" w:right="26"/>
            </w:pPr>
            <w:r>
              <w:rPr>
                <w:rFonts w:ascii="Arial MT" w:eastAsia="Arial MT" w:hAnsi="Arial MT" w:cs="Arial MT"/>
                <w:color w:val="373334"/>
                <w:sz w:val="9"/>
              </w:rPr>
              <w:t>Megacolon que puede ser a veces mortal, isquemia/infarto intestinal, que puede ser a veces mortal, diarrea, malestar abdominal/acidez/dispepsia, colitis</w:t>
            </w:r>
          </w:p>
        </w:tc>
      </w:tr>
      <w:tr w:rsidR="004939BA" w14:paraId="137DD767" w14:textId="77777777" w:rsidTr="00A22D4A">
        <w:trPr>
          <w:trHeight w:val="110"/>
        </w:trPr>
        <w:tc>
          <w:tcPr>
            <w:tcW w:w="3963" w:type="dxa"/>
            <w:gridSpan w:val="2"/>
            <w:tcBorders>
              <w:top w:val="single" w:sz="3" w:space="0" w:color="373334"/>
              <w:left w:val="single" w:sz="3" w:space="0" w:color="373334"/>
              <w:bottom w:val="single" w:sz="2" w:space="0" w:color="373334"/>
              <w:right w:val="single" w:sz="3" w:space="0" w:color="373334"/>
            </w:tcBorders>
          </w:tcPr>
          <w:p w14:paraId="26B54752" w14:textId="77777777" w:rsidR="004939BA" w:rsidRDefault="004939BA" w:rsidP="00A22D4A">
            <w:pPr>
              <w:ind w:left="1"/>
            </w:pPr>
            <w:r>
              <w:rPr>
                <w:rFonts w:ascii="Arial MT" w:eastAsia="Arial MT" w:hAnsi="Arial MT" w:cs="Arial MT"/>
                <w:b/>
                <w:color w:val="373334"/>
                <w:sz w:val="9"/>
              </w:rPr>
              <w:t xml:space="preserve">Infecciones e infestaciones </w:t>
            </w:r>
          </w:p>
        </w:tc>
      </w:tr>
      <w:tr w:rsidR="004939BA" w14:paraId="565A8DE3" w14:textId="77777777" w:rsidTr="00A22D4A">
        <w:trPr>
          <w:trHeight w:val="110"/>
        </w:trPr>
        <w:tc>
          <w:tcPr>
            <w:tcW w:w="1875" w:type="dxa"/>
            <w:tcBorders>
              <w:top w:val="single" w:sz="2" w:space="0" w:color="373334"/>
              <w:left w:val="single" w:sz="3" w:space="0" w:color="373334"/>
              <w:bottom w:val="single" w:sz="2" w:space="0" w:color="373334"/>
              <w:right w:val="single" w:sz="2" w:space="0" w:color="373334"/>
            </w:tcBorders>
          </w:tcPr>
          <w:p w14:paraId="5DBD5040" w14:textId="77777777" w:rsidR="004939BA" w:rsidRDefault="004939BA" w:rsidP="00A22D4A">
            <w:pPr>
              <w:ind w:left="1"/>
            </w:pPr>
            <w:r>
              <w:rPr>
                <w:rFonts w:ascii="Arial MT" w:eastAsia="Arial MT" w:hAnsi="Arial MT" w:cs="Arial MT"/>
                <w:color w:val="373334"/>
                <w:sz w:val="9"/>
              </w:rPr>
              <w:t xml:space="preserve">No conocidas </w:t>
            </w:r>
          </w:p>
        </w:tc>
        <w:tc>
          <w:tcPr>
            <w:tcW w:w="2088" w:type="dxa"/>
            <w:tcBorders>
              <w:top w:val="single" w:sz="2" w:space="0" w:color="373334"/>
              <w:left w:val="single" w:sz="2" w:space="0" w:color="373334"/>
              <w:bottom w:val="single" w:sz="2" w:space="0" w:color="373334"/>
              <w:right w:val="single" w:sz="3" w:space="0" w:color="373334"/>
            </w:tcBorders>
          </w:tcPr>
          <w:p w14:paraId="42BC8C2E" w14:textId="77777777" w:rsidR="004939BA" w:rsidRDefault="004939BA" w:rsidP="00A22D4A">
            <w:pPr>
              <w:ind w:left="3"/>
            </w:pPr>
            <w:r>
              <w:rPr>
                <w:rFonts w:ascii="Arial MT" w:eastAsia="Arial MT" w:hAnsi="Arial MT" w:cs="Arial MT"/>
                <w:color w:val="373334"/>
                <w:sz w:val="9"/>
              </w:rPr>
              <w:t xml:space="preserve">Sepsis </w:t>
            </w:r>
          </w:p>
        </w:tc>
      </w:tr>
      <w:tr w:rsidR="004939BA" w14:paraId="4AC9170F" w14:textId="77777777" w:rsidTr="00A22D4A">
        <w:trPr>
          <w:trHeight w:val="109"/>
        </w:trPr>
        <w:tc>
          <w:tcPr>
            <w:tcW w:w="3963" w:type="dxa"/>
            <w:gridSpan w:val="2"/>
            <w:tcBorders>
              <w:top w:val="single" w:sz="2" w:space="0" w:color="373334"/>
              <w:left w:val="single" w:sz="3" w:space="0" w:color="373334"/>
              <w:bottom w:val="single" w:sz="2" w:space="0" w:color="373334"/>
              <w:right w:val="single" w:sz="3" w:space="0" w:color="373334"/>
            </w:tcBorders>
          </w:tcPr>
          <w:p w14:paraId="6B021AC0" w14:textId="77777777" w:rsidR="004939BA" w:rsidRDefault="004939BA" w:rsidP="00A22D4A">
            <w:pPr>
              <w:ind w:left="1"/>
            </w:pPr>
            <w:r>
              <w:rPr>
                <w:rFonts w:ascii="Arial MT" w:eastAsia="Arial MT" w:hAnsi="Arial MT" w:cs="Arial MT"/>
                <w:b/>
                <w:color w:val="373334"/>
                <w:sz w:val="9"/>
              </w:rPr>
              <w:t>Trastornos hepatobiliares</w:t>
            </w:r>
          </w:p>
        </w:tc>
      </w:tr>
      <w:tr w:rsidR="004939BA" w14:paraId="66106A59" w14:textId="77777777" w:rsidTr="00A22D4A">
        <w:trPr>
          <w:trHeight w:val="110"/>
        </w:trPr>
        <w:tc>
          <w:tcPr>
            <w:tcW w:w="1875" w:type="dxa"/>
            <w:tcBorders>
              <w:top w:val="single" w:sz="2" w:space="0" w:color="373334"/>
              <w:left w:val="single" w:sz="3" w:space="0" w:color="373334"/>
              <w:bottom w:val="single" w:sz="2" w:space="0" w:color="373334"/>
              <w:right w:val="single" w:sz="2" w:space="0" w:color="373334"/>
            </w:tcBorders>
          </w:tcPr>
          <w:p w14:paraId="1F867617" w14:textId="77777777" w:rsidR="004939BA" w:rsidRDefault="004939BA" w:rsidP="00A22D4A">
            <w:pPr>
              <w:ind w:left="1"/>
            </w:pPr>
            <w:r>
              <w:rPr>
                <w:rFonts w:ascii="Arial MT" w:eastAsia="Arial MT" w:hAnsi="Arial MT" w:cs="Arial MT"/>
                <w:color w:val="373334"/>
                <w:sz w:val="9"/>
              </w:rPr>
              <w:t xml:space="preserve">Frecuentes </w:t>
            </w:r>
          </w:p>
        </w:tc>
        <w:tc>
          <w:tcPr>
            <w:tcW w:w="2088" w:type="dxa"/>
            <w:tcBorders>
              <w:top w:val="single" w:sz="2" w:space="0" w:color="373334"/>
              <w:left w:val="single" w:sz="2" w:space="0" w:color="373334"/>
              <w:bottom w:val="single" w:sz="2" w:space="0" w:color="373334"/>
              <w:right w:val="single" w:sz="3" w:space="0" w:color="373334"/>
            </w:tcBorders>
          </w:tcPr>
          <w:p w14:paraId="046D0974" w14:textId="77777777" w:rsidR="004939BA" w:rsidRDefault="004939BA" w:rsidP="00A22D4A">
            <w:r>
              <w:rPr>
                <w:rFonts w:ascii="Arial MT" w:eastAsia="Arial MT" w:hAnsi="Arial MT" w:cs="Arial MT"/>
                <w:color w:val="373334"/>
                <w:sz w:val="9"/>
              </w:rPr>
              <w:t xml:space="preserve">Aumento de los enzimas hepáticos </w:t>
            </w:r>
          </w:p>
        </w:tc>
      </w:tr>
      <w:tr w:rsidR="004939BA" w14:paraId="333735F8" w14:textId="77777777" w:rsidTr="00A22D4A">
        <w:trPr>
          <w:trHeight w:val="109"/>
        </w:trPr>
        <w:tc>
          <w:tcPr>
            <w:tcW w:w="3963" w:type="dxa"/>
            <w:gridSpan w:val="2"/>
            <w:tcBorders>
              <w:top w:val="single" w:sz="2" w:space="0" w:color="373334"/>
              <w:left w:val="single" w:sz="3" w:space="0" w:color="373334"/>
              <w:bottom w:val="single" w:sz="2" w:space="0" w:color="373334"/>
              <w:right w:val="single" w:sz="3" w:space="0" w:color="373334"/>
            </w:tcBorders>
          </w:tcPr>
          <w:p w14:paraId="1ECCD5EA" w14:textId="77777777" w:rsidR="004939BA" w:rsidRDefault="004939BA" w:rsidP="00A22D4A">
            <w:pPr>
              <w:tabs>
                <w:tab w:val="center" w:pos="123"/>
                <w:tab w:val="center" w:pos="2740"/>
              </w:tabs>
            </w:pPr>
            <w:r>
              <w:tab/>
            </w:r>
            <w:r>
              <w:rPr>
                <w:rFonts w:ascii="Arial MT" w:eastAsia="Arial MT" w:hAnsi="Arial MT" w:cs="Arial MT"/>
                <w:color w:val="373334"/>
                <w:sz w:val="9"/>
              </w:rPr>
              <w:t xml:space="preserve">Raros </w:t>
            </w:r>
            <w:r>
              <w:rPr>
                <w:rFonts w:ascii="Arial MT" w:eastAsia="Arial MT" w:hAnsi="Arial MT" w:cs="Arial MT"/>
                <w:color w:val="373334"/>
                <w:sz w:val="9"/>
              </w:rPr>
              <w:tab/>
              <w:t xml:space="preserve">Pancreatitis, hepatitis, ictericia colestásica, </w:t>
            </w:r>
          </w:p>
        </w:tc>
      </w:tr>
      <w:tr w:rsidR="004939BA" w14:paraId="7652C3A1"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681E3B44" w14:textId="77777777" w:rsidR="004939BA" w:rsidRDefault="004939BA" w:rsidP="00A22D4A">
            <w:pPr>
              <w:ind w:left="1"/>
            </w:pPr>
            <w:r>
              <w:rPr>
                <w:rFonts w:ascii="Arial MT" w:eastAsia="Arial MT" w:hAnsi="Arial MT" w:cs="Arial MT"/>
                <w:color w:val="373334"/>
                <w:sz w:val="9"/>
              </w:rPr>
              <w:t xml:space="preserve">Muy raros </w:t>
            </w:r>
          </w:p>
        </w:tc>
        <w:tc>
          <w:tcPr>
            <w:tcW w:w="2088" w:type="dxa"/>
            <w:tcBorders>
              <w:top w:val="single" w:sz="2" w:space="0" w:color="373334"/>
              <w:left w:val="single" w:sz="2" w:space="0" w:color="373334"/>
              <w:bottom w:val="single" w:sz="2" w:space="0" w:color="373334"/>
              <w:right w:val="single" w:sz="3" w:space="0" w:color="373334"/>
            </w:tcBorders>
          </w:tcPr>
          <w:p w14:paraId="6AD4872D" w14:textId="77777777" w:rsidR="004939BA" w:rsidRDefault="004939BA" w:rsidP="00A22D4A">
            <w:r>
              <w:rPr>
                <w:rFonts w:ascii="Arial MT" w:eastAsia="Arial MT" w:hAnsi="Arial MT" w:cs="Arial MT"/>
                <w:color w:val="373334"/>
                <w:sz w:val="9"/>
              </w:rPr>
              <w:t xml:space="preserve">Necrosis hepática fulminante </w:t>
            </w:r>
          </w:p>
        </w:tc>
      </w:tr>
      <w:tr w:rsidR="004939BA" w14:paraId="09EE7336" w14:textId="77777777" w:rsidTr="00A22D4A">
        <w:trPr>
          <w:trHeight w:val="844"/>
        </w:trPr>
        <w:tc>
          <w:tcPr>
            <w:tcW w:w="1875" w:type="dxa"/>
            <w:tcBorders>
              <w:top w:val="single" w:sz="2" w:space="0" w:color="373334"/>
              <w:left w:val="single" w:sz="3" w:space="0" w:color="373334"/>
              <w:bottom w:val="single" w:sz="2" w:space="0" w:color="373334"/>
              <w:right w:val="single" w:sz="2" w:space="0" w:color="373334"/>
            </w:tcBorders>
          </w:tcPr>
          <w:p w14:paraId="6027E21C" w14:textId="77777777" w:rsidR="004939BA" w:rsidRDefault="004939BA" w:rsidP="00A22D4A">
            <w:pPr>
              <w:ind w:left="1"/>
            </w:pPr>
            <w:r>
              <w:rPr>
                <w:rFonts w:ascii="Arial MT" w:eastAsia="Arial MT" w:hAnsi="Arial MT" w:cs="Arial MT"/>
                <w:b/>
                <w:color w:val="373334"/>
                <w:sz w:val="9"/>
              </w:rPr>
              <w:t xml:space="preserve">Frecuencia no conocida </w:t>
            </w:r>
          </w:p>
        </w:tc>
        <w:tc>
          <w:tcPr>
            <w:tcW w:w="2088" w:type="dxa"/>
            <w:tcBorders>
              <w:top w:val="single" w:sz="2" w:space="0" w:color="373334"/>
              <w:left w:val="single" w:sz="2" w:space="0" w:color="373334"/>
              <w:bottom w:val="single" w:sz="2" w:space="0" w:color="373334"/>
              <w:right w:val="single" w:sz="3" w:space="0" w:color="373334"/>
            </w:tcBorders>
          </w:tcPr>
          <w:p w14:paraId="751A384A" w14:textId="77777777" w:rsidR="004939BA" w:rsidRDefault="004939BA" w:rsidP="00A22D4A">
            <w:pPr>
              <w:ind w:right="16"/>
            </w:pPr>
            <w:r>
              <w:rPr>
                <w:rFonts w:ascii="Arial MT" w:eastAsia="Arial MT" w:hAnsi="Arial MT" w:cs="Arial MT"/>
                <w:color w:val="373334"/>
                <w:sz w:val="9"/>
              </w:rPr>
              <w:t xml:space="preserve">Esteatosis hepática, necrosis hepática, hepatotoxicidad, fibrosis hepática, cirrosis hepática, alteraciones hepáticas incluyendo acontecimientos hepáticos que con consecuencias amenazantes para la vida tales como daño hepático (colestasis hepática y mixta), fallo hepático que podría ser fatal y trasplante hepático. </w:t>
            </w:r>
          </w:p>
        </w:tc>
      </w:tr>
      <w:tr w:rsidR="004939BA" w14:paraId="2A9D82E0" w14:textId="77777777" w:rsidTr="00A22D4A">
        <w:trPr>
          <w:trHeight w:val="214"/>
        </w:trPr>
        <w:tc>
          <w:tcPr>
            <w:tcW w:w="3963" w:type="dxa"/>
            <w:gridSpan w:val="2"/>
            <w:tcBorders>
              <w:top w:val="single" w:sz="2" w:space="0" w:color="373334"/>
              <w:left w:val="single" w:sz="3" w:space="0" w:color="373334"/>
              <w:bottom w:val="single" w:sz="2" w:space="0" w:color="373334"/>
              <w:right w:val="single" w:sz="3" w:space="0" w:color="373334"/>
            </w:tcBorders>
          </w:tcPr>
          <w:p w14:paraId="1BC689B4" w14:textId="77777777" w:rsidR="004939BA" w:rsidRDefault="004939BA" w:rsidP="00A22D4A">
            <w:pPr>
              <w:ind w:left="1" w:right="1981"/>
            </w:pPr>
            <w:r>
              <w:rPr>
                <w:rFonts w:ascii="Arial MT" w:eastAsia="Arial MT" w:hAnsi="Arial MT" w:cs="Arial MT"/>
                <w:b/>
                <w:color w:val="373334"/>
                <w:sz w:val="9"/>
              </w:rPr>
              <w:t xml:space="preserve">Trastornos de la piel y del tejido subcutáneo </w:t>
            </w:r>
          </w:p>
        </w:tc>
      </w:tr>
      <w:tr w:rsidR="004939BA" w14:paraId="5ADB02F6"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77B2A5F6" w14:textId="77777777" w:rsidR="004939BA" w:rsidRDefault="004939BA" w:rsidP="00A22D4A">
            <w:pPr>
              <w:ind w:left="1"/>
            </w:pPr>
            <w:r>
              <w:rPr>
                <w:rFonts w:ascii="Arial MT" w:eastAsia="Arial MT" w:hAnsi="Arial MT" w:cs="Arial MT"/>
                <w:color w:val="373334"/>
                <w:sz w:val="9"/>
              </w:rPr>
              <w:t xml:space="preserve">Muy raros </w:t>
            </w:r>
          </w:p>
        </w:tc>
        <w:tc>
          <w:tcPr>
            <w:tcW w:w="2088" w:type="dxa"/>
            <w:tcBorders>
              <w:top w:val="single" w:sz="2" w:space="0" w:color="373334"/>
              <w:left w:val="single" w:sz="2" w:space="0" w:color="373334"/>
              <w:bottom w:val="single" w:sz="2" w:space="0" w:color="373334"/>
              <w:right w:val="single" w:sz="3" w:space="0" w:color="373334"/>
            </w:tcBorders>
          </w:tcPr>
          <w:p w14:paraId="1B95BF5D" w14:textId="77777777" w:rsidR="004939BA" w:rsidRDefault="004939BA" w:rsidP="00A22D4A">
            <w:r>
              <w:rPr>
                <w:rFonts w:ascii="Arial MT" w:eastAsia="Arial MT" w:hAnsi="Arial MT" w:cs="Arial MT"/>
                <w:color w:val="373334"/>
                <w:sz w:val="9"/>
              </w:rPr>
              <w:t xml:space="preserve">Reacciones cutáneas </w:t>
            </w:r>
          </w:p>
        </w:tc>
      </w:tr>
      <w:tr w:rsidR="004939BA" w14:paraId="7573E9FC"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1F0D8FB4" w14:textId="77777777" w:rsidR="004939BA" w:rsidRDefault="004939BA" w:rsidP="00A22D4A">
            <w:pPr>
              <w:ind w:left="1"/>
            </w:pPr>
            <w:r>
              <w:rPr>
                <w:rFonts w:ascii="Arial MT" w:eastAsia="Arial MT" w:hAnsi="Arial MT" w:cs="Arial MT"/>
                <w:color w:val="373334"/>
                <w:sz w:val="9"/>
              </w:rPr>
              <w:t xml:space="preserve">Frecuencia no conocida </w:t>
            </w:r>
          </w:p>
        </w:tc>
        <w:tc>
          <w:tcPr>
            <w:tcW w:w="2088" w:type="dxa"/>
            <w:tcBorders>
              <w:top w:val="single" w:sz="2" w:space="0" w:color="373334"/>
              <w:left w:val="single" w:sz="2" w:space="0" w:color="373334"/>
              <w:bottom w:val="single" w:sz="2" w:space="0" w:color="373334"/>
              <w:right w:val="single" w:sz="3" w:space="0" w:color="373334"/>
            </w:tcBorders>
          </w:tcPr>
          <w:p w14:paraId="664EBB4A" w14:textId="77777777" w:rsidR="004939BA" w:rsidRDefault="004939BA" w:rsidP="00A22D4A">
            <w:r>
              <w:rPr>
                <w:rFonts w:ascii="Arial MT" w:eastAsia="Arial MT" w:hAnsi="Arial MT" w:cs="Arial MT"/>
                <w:color w:val="373334"/>
                <w:sz w:val="9"/>
              </w:rPr>
              <w:t xml:space="preserve">Trastornos de la pigmentación </w:t>
            </w:r>
          </w:p>
        </w:tc>
      </w:tr>
      <w:tr w:rsidR="004939BA" w14:paraId="7D8DEDEF" w14:textId="77777777" w:rsidTr="00A22D4A">
        <w:trPr>
          <w:trHeight w:val="215"/>
        </w:trPr>
        <w:tc>
          <w:tcPr>
            <w:tcW w:w="1875" w:type="dxa"/>
            <w:tcBorders>
              <w:top w:val="single" w:sz="2" w:space="0" w:color="373334"/>
              <w:left w:val="single" w:sz="3" w:space="0" w:color="373334"/>
              <w:bottom w:val="single" w:sz="2" w:space="0" w:color="373334"/>
              <w:right w:val="single" w:sz="2" w:space="0" w:color="373334"/>
            </w:tcBorders>
          </w:tcPr>
          <w:p w14:paraId="7AE45C28" w14:textId="77777777" w:rsidR="004939BA" w:rsidRDefault="004939BA" w:rsidP="00A22D4A">
            <w:pPr>
              <w:ind w:left="1"/>
            </w:pPr>
            <w:r>
              <w:rPr>
                <w:rFonts w:ascii="Arial MT" w:eastAsia="Arial MT" w:hAnsi="Arial MT" w:cs="Arial MT"/>
                <w:color w:val="373334"/>
                <w:sz w:val="9"/>
              </w:rPr>
              <w:t xml:space="preserve">Trastornos musculoesqueléticos y del tejido conjuntivo </w:t>
            </w:r>
          </w:p>
        </w:tc>
        <w:tc>
          <w:tcPr>
            <w:tcW w:w="2088" w:type="dxa"/>
            <w:tcBorders>
              <w:top w:val="single" w:sz="2" w:space="0" w:color="373334"/>
              <w:left w:val="single" w:sz="2" w:space="0" w:color="373334"/>
              <w:bottom w:val="single" w:sz="2" w:space="0" w:color="373334"/>
              <w:right w:val="single" w:sz="3" w:space="0" w:color="373334"/>
            </w:tcBorders>
          </w:tcPr>
          <w:p w14:paraId="25B0753A" w14:textId="77777777" w:rsidR="004939BA" w:rsidRDefault="004939BA" w:rsidP="00A22D4A"/>
        </w:tc>
      </w:tr>
      <w:tr w:rsidR="004939BA" w14:paraId="5914EDC9" w14:textId="77777777" w:rsidTr="00A22D4A">
        <w:trPr>
          <w:trHeight w:val="319"/>
        </w:trPr>
        <w:tc>
          <w:tcPr>
            <w:tcW w:w="1875" w:type="dxa"/>
            <w:tcBorders>
              <w:top w:val="single" w:sz="2" w:space="0" w:color="373334"/>
              <w:left w:val="single" w:sz="3" w:space="0" w:color="373334"/>
              <w:bottom w:val="single" w:sz="2" w:space="0" w:color="373334"/>
              <w:right w:val="single" w:sz="2" w:space="0" w:color="373334"/>
            </w:tcBorders>
          </w:tcPr>
          <w:p w14:paraId="48EDEF0C" w14:textId="77777777" w:rsidR="004939BA" w:rsidRDefault="004939BA" w:rsidP="00A22D4A">
            <w:pPr>
              <w:ind w:left="1"/>
            </w:pPr>
            <w:r>
              <w:rPr>
                <w:rFonts w:ascii="Arial MT" w:eastAsia="Arial MT" w:hAnsi="Arial MT" w:cs="Arial MT"/>
                <w:color w:val="373334"/>
                <w:sz w:val="9"/>
              </w:rPr>
              <w:t xml:space="preserve">Frecuencia no conocida </w:t>
            </w:r>
          </w:p>
        </w:tc>
        <w:tc>
          <w:tcPr>
            <w:tcW w:w="2088" w:type="dxa"/>
            <w:tcBorders>
              <w:top w:val="single" w:sz="2" w:space="0" w:color="373334"/>
              <w:left w:val="single" w:sz="2" w:space="0" w:color="373334"/>
              <w:bottom w:val="single" w:sz="2" w:space="0" w:color="373334"/>
              <w:right w:val="single" w:sz="3" w:space="0" w:color="373334"/>
            </w:tcBorders>
          </w:tcPr>
          <w:p w14:paraId="6AF877B3" w14:textId="77777777" w:rsidR="004939BA" w:rsidRDefault="004939BA" w:rsidP="00A22D4A">
            <w:r>
              <w:rPr>
                <w:rFonts w:ascii="Arial MT" w:eastAsia="Arial MT" w:hAnsi="Arial MT" w:cs="Arial MT"/>
                <w:color w:val="373334"/>
                <w:sz w:val="9"/>
              </w:rPr>
              <w:t xml:space="preserve">Rabdomiolisis, debilidad muscular, espasmos musculares, dolor muscular, lupus eritematoso sistémico </w:t>
            </w:r>
          </w:p>
        </w:tc>
      </w:tr>
      <w:tr w:rsidR="004939BA" w14:paraId="12CFED49" w14:textId="77777777" w:rsidTr="00A22D4A">
        <w:trPr>
          <w:trHeight w:val="109"/>
        </w:trPr>
        <w:tc>
          <w:tcPr>
            <w:tcW w:w="3963" w:type="dxa"/>
            <w:gridSpan w:val="2"/>
            <w:tcBorders>
              <w:top w:val="single" w:sz="2" w:space="0" w:color="373334"/>
              <w:left w:val="single" w:sz="3" w:space="0" w:color="373334"/>
              <w:bottom w:val="single" w:sz="2" w:space="0" w:color="373334"/>
              <w:right w:val="single" w:sz="3" w:space="0" w:color="373334"/>
            </w:tcBorders>
          </w:tcPr>
          <w:p w14:paraId="12F31742" w14:textId="77777777" w:rsidR="004939BA" w:rsidRDefault="004939BA" w:rsidP="00A22D4A">
            <w:pPr>
              <w:ind w:left="1"/>
            </w:pPr>
            <w:r>
              <w:rPr>
                <w:rFonts w:ascii="Arial MT" w:eastAsia="Arial MT" w:hAnsi="Arial MT" w:cs="Arial MT"/>
                <w:b/>
                <w:color w:val="373334"/>
                <w:sz w:val="9"/>
              </w:rPr>
              <w:t xml:space="preserve">Trastornos renales y urinarios </w:t>
            </w:r>
          </w:p>
        </w:tc>
      </w:tr>
      <w:tr w:rsidR="004939BA" w14:paraId="10AB0380" w14:textId="77777777" w:rsidTr="00A22D4A">
        <w:trPr>
          <w:trHeight w:val="109"/>
        </w:trPr>
        <w:tc>
          <w:tcPr>
            <w:tcW w:w="3963" w:type="dxa"/>
            <w:gridSpan w:val="2"/>
            <w:tcBorders>
              <w:top w:val="single" w:sz="2" w:space="0" w:color="373334"/>
              <w:left w:val="single" w:sz="3" w:space="0" w:color="373334"/>
              <w:bottom w:val="single" w:sz="2" w:space="0" w:color="373334"/>
              <w:right w:val="single" w:sz="3" w:space="0" w:color="373334"/>
            </w:tcBorders>
          </w:tcPr>
          <w:p w14:paraId="4DCEC6BC" w14:textId="77777777" w:rsidR="004939BA" w:rsidRDefault="004939BA" w:rsidP="00A22D4A">
            <w:pPr>
              <w:tabs>
                <w:tab w:val="center" w:pos="229"/>
                <w:tab w:val="center" w:pos="2702"/>
              </w:tabs>
            </w:pPr>
            <w:r>
              <w:tab/>
            </w:r>
            <w:r>
              <w:rPr>
                <w:rFonts w:ascii="Arial MT" w:eastAsia="Arial MT" w:hAnsi="Arial MT" w:cs="Arial MT"/>
                <w:color w:val="373334"/>
                <w:sz w:val="9"/>
              </w:rPr>
              <w:t xml:space="preserve">Frecuentes </w:t>
            </w:r>
            <w:r>
              <w:rPr>
                <w:rFonts w:ascii="Arial MT" w:eastAsia="Arial MT" w:hAnsi="Arial MT" w:cs="Arial MT"/>
                <w:color w:val="373334"/>
                <w:sz w:val="9"/>
              </w:rPr>
              <w:tab/>
              <w:t xml:space="preserve">Retención urinaria, incontinencia urinaria </w:t>
            </w:r>
          </w:p>
        </w:tc>
      </w:tr>
      <w:tr w:rsidR="004939BA" w14:paraId="393491DA"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0BB1F9E1" w14:textId="77777777" w:rsidR="004939BA" w:rsidRDefault="004939BA" w:rsidP="00A22D4A">
            <w:pPr>
              <w:ind w:left="1"/>
            </w:pPr>
            <w:r>
              <w:rPr>
                <w:rFonts w:ascii="Arial MT" w:eastAsia="Arial MT" w:hAnsi="Arial MT" w:cs="Arial MT"/>
                <w:color w:val="373334"/>
                <w:sz w:val="9"/>
              </w:rPr>
              <w:t xml:space="preserve">Muy raros </w:t>
            </w:r>
          </w:p>
        </w:tc>
        <w:tc>
          <w:tcPr>
            <w:tcW w:w="2088" w:type="dxa"/>
            <w:tcBorders>
              <w:top w:val="single" w:sz="2" w:space="0" w:color="373334"/>
              <w:left w:val="single" w:sz="2" w:space="0" w:color="373334"/>
              <w:bottom w:val="single" w:sz="2" w:space="0" w:color="373334"/>
              <w:right w:val="single" w:sz="3" w:space="0" w:color="373334"/>
            </w:tcBorders>
          </w:tcPr>
          <w:p w14:paraId="45CBDEF1" w14:textId="77777777" w:rsidR="004939BA" w:rsidRDefault="004939BA" w:rsidP="00A22D4A">
            <w:r>
              <w:rPr>
                <w:rFonts w:ascii="Arial MT" w:eastAsia="Arial MT" w:hAnsi="Arial MT" w:cs="Arial MT"/>
                <w:color w:val="373334"/>
                <w:sz w:val="9"/>
              </w:rPr>
              <w:t xml:space="preserve">Nefritis intersticial </w:t>
            </w:r>
          </w:p>
        </w:tc>
      </w:tr>
      <w:tr w:rsidR="004939BA" w14:paraId="7CAE2F53"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30CC2AEB" w14:textId="77777777" w:rsidR="004939BA" w:rsidRDefault="004939BA" w:rsidP="00A22D4A">
            <w:pPr>
              <w:ind w:left="1"/>
            </w:pPr>
            <w:r>
              <w:rPr>
                <w:rFonts w:ascii="Arial MT" w:eastAsia="Arial MT" w:hAnsi="Arial MT" w:cs="Arial MT"/>
                <w:color w:val="373334"/>
                <w:sz w:val="9"/>
              </w:rPr>
              <w:t xml:space="preserve">Frecuencia no conocida </w:t>
            </w:r>
          </w:p>
        </w:tc>
        <w:tc>
          <w:tcPr>
            <w:tcW w:w="2088" w:type="dxa"/>
            <w:tcBorders>
              <w:top w:val="single" w:sz="2" w:space="0" w:color="373334"/>
              <w:left w:val="single" w:sz="2" w:space="0" w:color="373334"/>
              <w:bottom w:val="single" w:sz="2" w:space="0" w:color="373334"/>
              <w:right w:val="single" w:sz="3" w:space="0" w:color="373334"/>
            </w:tcBorders>
          </w:tcPr>
          <w:p w14:paraId="2397413B" w14:textId="77777777" w:rsidR="004939BA" w:rsidRDefault="004939BA" w:rsidP="00A22D4A">
            <w:r>
              <w:rPr>
                <w:rFonts w:ascii="Arial MT" w:eastAsia="Arial MT" w:hAnsi="Arial MT" w:cs="Arial MT"/>
                <w:color w:val="373334"/>
                <w:sz w:val="9"/>
              </w:rPr>
              <w:t xml:space="preserve">Fallo renal, Enuresis nocturna </w:t>
            </w:r>
          </w:p>
        </w:tc>
      </w:tr>
      <w:tr w:rsidR="004939BA" w14:paraId="471ADB11" w14:textId="77777777" w:rsidTr="00A22D4A">
        <w:trPr>
          <w:trHeight w:val="214"/>
        </w:trPr>
        <w:tc>
          <w:tcPr>
            <w:tcW w:w="3963" w:type="dxa"/>
            <w:gridSpan w:val="2"/>
            <w:tcBorders>
              <w:top w:val="single" w:sz="2" w:space="0" w:color="373334"/>
              <w:left w:val="single" w:sz="3" w:space="0" w:color="373334"/>
              <w:bottom w:val="single" w:sz="2" w:space="0" w:color="373334"/>
              <w:right w:val="single" w:sz="3" w:space="0" w:color="373334"/>
            </w:tcBorders>
          </w:tcPr>
          <w:p w14:paraId="415A7A83" w14:textId="77777777" w:rsidR="004939BA" w:rsidRDefault="004939BA" w:rsidP="00A22D4A">
            <w:pPr>
              <w:ind w:left="1" w:right="1773"/>
            </w:pPr>
            <w:r>
              <w:rPr>
                <w:rFonts w:ascii="Arial MT" w:eastAsia="Arial MT" w:hAnsi="Arial MT" w:cs="Arial MT"/>
                <w:b/>
                <w:color w:val="373334"/>
                <w:sz w:val="9"/>
              </w:rPr>
              <w:t xml:space="preserve">Embarazo, puerperio y enfermedades perinatales </w:t>
            </w:r>
          </w:p>
        </w:tc>
      </w:tr>
      <w:tr w:rsidR="004939BA" w14:paraId="7C1C33B9" w14:textId="77777777" w:rsidTr="00A22D4A">
        <w:trPr>
          <w:trHeight w:val="215"/>
        </w:trPr>
        <w:tc>
          <w:tcPr>
            <w:tcW w:w="1875" w:type="dxa"/>
            <w:tcBorders>
              <w:top w:val="single" w:sz="2" w:space="0" w:color="373334"/>
              <w:left w:val="single" w:sz="3" w:space="0" w:color="373334"/>
              <w:bottom w:val="single" w:sz="2" w:space="0" w:color="373334"/>
              <w:right w:val="single" w:sz="2" w:space="0" w:color="373334"/>
            </w:tcBorders>
          </w:tcPr>
          <w:p w14:paraId="6C52EF18" w14:textId="77777777" w:rsidR="004939BA" w:rsidRDefault="004939BA" w:rsidP="00A22D4A">
            <w:pPr>
              <w:ind w:left="1"/>
            </w:pPr>
            <w:r>
              <w:rPr>
                <w:rFonts w:ascii="Arial MT" w:eastAsia="Arial MT" w:hAnsi="Arial MT" w:cs="Arial MT"/>
                <w:color w:val="373334"/>
                <w:sz w:val="9"/>
              </w:rPr>
              <w:t xml:space="preserve">Frecuencia no conocida </w:t>
            </w:r>
          </w:p>
        </w:tc>
        <w:tc>
          <w:tcPr>
            <w:tcW w:w="2088" w:type="dxa"/>
            <w:tcBorders>
              <w:top w:val="single" w:sz="2" w:space="0" w:color="373334"/>
              <w:left w:val="single" w:sz="2" w:space="0" w:color="373334"/>
              <w:bottom w:val="single" w:sz="2" w:space="0" w:color="373334"/>
              <w:right w:val="single" w:sz="3" w:space="0" w:color="373334"/>
            </w:tcBorders>
          </w:tcPr>
          <w:p w14:paraId="44AB5657" w14:textId="77777777" w:rsidR="004939BA" w:rsidRDefault="004939BA" w:rsidP="00A22D4A">
            <w:r>
              <w:rPr>
                <w:rFonts w:ascii="Arial MT" w:eastAsia="Arial MT" w:hAnsi="Arial MT" w:cs="Arial MT"/>
                <w:color w:val="373334"/>
                <w:sz w:val="9"/>
              </w:rPr>
              <w:t xml:space="preserve">Síndrome de abstinencia neonatal de medicamentos (ver Restricciones de Uso) </w:t>
            </w:r>
          </w:p>
        </w:tc>
      </w:tr>
      <w:tr w:rsidR="004939BA" w14:paraId="55C6E6DA" w14:textId="77777777" w:rsidTr="00A22D4A">
        <w:trPr>
          <w:trHeight w:val="214"/>
        </w:trPr>
        <w:tc>
          <w:tcPr>
            <w:tcW w:w="3963" w:type="dxa"/>
            <w:gridSpan w:val="2"/>
            <w:tcBorders>
              <w:top w:val="single" w:sz="2" w:space="0" w:color="373334"/>
              <w:left w:val="single" w:sz="3" w:space="0" w:color="373334"/>
              <w:bottom w:val="single" w:sz="2" w:space="0" w:color="373334"/>
              <w:right w:val="single" w:sz="3" w:space="0" w:color="373334"/>
            </w:tcBorders>
          </w:tcPr>
          <w:p w14:paraId="60F94487" w14:textId="77777777" w:rsidR="004939BA" w:rsidRDefault="004939BA" w:rsidP="00A22D4A">
            <w:pPr>
              <w:ind w:left="1" w:right="2062"/>
            </w:pPr>
            <w:r>
              <w:rPr>
                <w:rFonts w:ascii="Arial MT" w:eastAsia="Arial MT" w:hAnsi="Arial MT" w:cs="Arial MT"/>
                <w:b/>
                <w:color w:val="373334"/>
                <w:sz w:val="9"/>
              </w:rPr>
              <w:t xml:space="preserve">Trastornos del sistema reproductor y de la mama </w:t>
            </w:r>
          </w:p>
        </w:tc>
      </w:tr>
      <w:tr w:rsidR="004939BA" w14:paraId="2183091F"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4A93240B" w14:textId="77777777" w:rsidR="004939BA" w:rsidRDefault="004939BA" w:rsidP="00A22D4A">
            <w:pPr>
              <w:ind w:left="1"/>
            </w:pPr>
            <w:r>
              <w:rPr>
                <w:rFonts w:ascii="Arial MT" w:eastAsia="Arial MT" w:hAnsi="Arial MT" w:cs="Arial MT"/>
                <w:color w:val="373334"/>
                <w:sz w:val="9"/>
              </w:rPr>
              <w:lastRenderedPageBreak/>
              <w:t xml:space="preserve">Muy raras </w:t>
            </w:r>
          </w:p>
        </w:tc>
        <w:tc>
          <w:tcPr>
            <w:tcW w:w="2088" w:type="dxa"/>
            <w:tcBorders>
              <w:top w:val="single" w:sz="2" w:space="0" w:color="373334"/>
              <w:left w:val="single" w:sz="2" w:space="0" w:color="373334"/>
              <w:bottom w:val="single" w:sz="2" w:space="0" w:color="373334"/>
              <w:right w:val="single" w:sz="3" w:space="0" w:color="373334"/>
            </w:tcBorders>
          </w:tcPr>
          <w:p w14:paraId="09DA9497" w14:textId="77777777" w:rsidR="004939BA" w:rsidRDefault="004939BA" w:rsidP="00A22D4A">
            <w:r>
              <w:rPr>
                <w:rFonts w:ascii="Arial MT" w:eastAsia="Arial MT" w:hAnsi="Arial MT" w:cs="Arial MT"/>
                <w:color w:val="373334"/>
                <w:sz w:val="9"/>
              </w:rPr>
              <w:t xml:space="preserve">Priapismo </w:t>
            </w:r>
          </w:p>
        </w:tc>
      </w:tr>
      <w:tr w:rsidR="004939BA" w14:paraId="554A8419"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3B01C0CE" w14:textId="77777777" w:rsidR="004939BA" w:rsidRDefault="004939BA" w:rsidP="00A22D4A">
            <w:pPr>
              <w:ind w:left="1"/>
            </w:pPr>
            <w:r>
              <w:rPr>
                <w:rFonts w:ascii="Arial MT" w:eastAsia="Arial MT" w:hAnsi="Arial MT" w:cs="Arial MT"/>
                <w:color w:val="373334"/>
                <w:sz w:val="9"/>
              </w:rPr>
              <w:t xml:space="preserve">Frecuencia no conocida </w:t>
            </w:r>
          </w:p>
        </w:tc>
        <w:tc>
          <w:tcPr>
            <w:tcW w:w="2088" w:type="dxa"/>
            <w:tcBorders>
              <w:top w:val="single" w:sz="2" w:space="0" w:color="373334"/>
              <w:left w:val="single" w:sz="2" w:space="0" w:color="373334"/>
              <w:bottom w:val="single" w:sz="2" w:space="0" w:color="373334"/>
              <w:right w:val="single" w:sz="3" w:space="0" w:color="373334"/>
            </w:tcBorders>
          </w:tcPr>
          <w:p w14:paraId="4D4E70CF" w14:textId="77777777" w:rsidR="004939BA" w:rsidRDefault="004939BA" w:rsidP="00A22D4A">
            <w:r>
              <w:rPr>
                <w:rFonts w:ascii="Arial MT" w:eastAsia="Arial MT" w:hAnsi="Arial MT" w:cs="Arial MT"/>
                <w:color w:val="373334"/>
                <w:sz w:val="9"/>
              </w:rPr>
              <w:t>Eyaculación retrógrada</w:t>
            </w:r>
          </w:p>
        </w:tc>
      </w:tr>
      <w:tr w:rsidR="004939BA" w14:paraId="5F46D9B0" w14:textId="77777777" w:rsidTr="00A22D4A">
        <w:trPr>
          <w:trHeight w:val="214"/>
        </w:trPr>
        <w:tc>
          <w:tcPr>
            <w:tcW w:w="3963" w:type="dxa"/>
            <w:gridSpan w:val="2"/>
            <w:tcBorders>
              <w:top w:val="single" w:sz="2" w:space="0" w:color="373334"/>
              <w:left w:val="single" w:sz="3" w:space="0" w:color="373334"/>
              <w:bottom w:val="single" w:sz="2" w:space="0" w:color="373334"/>
              <w:right w:val="single" w:sz="3" w:space="0" w:color="373334"/>
            </w:tcBorders>
          </w:tcPr>
          <w:p w14:paraId="26BA9730" w14:textId="77777777" w:rsidR="004939BA" w:rsidRDefault="004939BA" w:rsidP="00A22D4A">
            <w:pPr>
              <w:ind w:left="1" w:right="2112"/>
            </w:pPr>
            <w:r>
              <w:rPr>
                <w:rFonts w:ascii="Arial MT" w:eastAsia="Arial MT" w:hAnsi="Arial MT" w:cs="Arial MT"/>
                <w:b/>
                <w:color w:val="373334"/>
                <w:sz w:val="9"/>
              </w:rPr>
              <w:t xml:space="preserve">Trastornos generales y alteraciones en el lugar de administración </w:t>
            </w:r>
          </w:p>
        </w:tc>
      </w:tr>
      <w:tr w:rsidR="004939BA" w14:paraId="2AAF89AC" w14:textId="77777777" w:rsidTr="00A22D4A">
        <w:trPr>
          <w:trHeight w:val="319"/>
        </w:trPr>
        <w:tc>
          <w:tcPr>
            <w:tcW w:w="1875" w:type="dxa"/>
            <w:tcBorders>
              <w:top w:val="single" w:sz="2" w:space="0" w:color="373334"/>
              <w:left w:val="single" w:sz="3" w:space="0" w:color="373334"/>
              <w:bottom w:val="single" w:sz="2" w:space="0" w:color="373334"/>
              <w:right w:val="single" w:sz="2" w:space="0" w:color="373334"/>
            </w:tcBorders>
          </w:tcPr>
          <w:p w14:paraId="3C1A1931" w14:textId="77777777" w:rsidR="004939BA" w:rsidRDefault="004939BA" w:rsidP="00A22D4A">
            <w:pPr>
              <w:ind w:left="1"/>
            </w:pPr>
            <w:r>
              <w:rPr>
                <w:rFonts w:ascii="Arial MT" w:eastAsia="Arial MT" w:hAnsi="Arial MT" w:cs="Arial MT"/>
                <w:color w:val="373334"/>
                <w:sz w:val="9"/>
              </w:rPr>
              <w:t xml:space="preserve">Frecuentes </w:t>
            </w:r>
          </w:p>
        </w:tc>
        <w:tc>
          <w:tcPr>
            <w:tcW w:w="2088" w:type="dxa"/>
            <w:tcBorders>
              <w:top w:val="single" w:sz="2" w:space="0" w:color="373334"/>
              <w:left w:val="single" w:sz="2" w:space="0" w:color="373334"/>
              <w:bottom w:val="single" w:sz="2" w:space="0" w:color="373334"/>
              <w:right w:val="single" w:sz="3" w:space="0" w:color="373334"/>
            </w:tcBorders>
          </w:tcPr>
          <w:p w14:paraId="504547FD" w14:textId="77777777" w:rsidR="004939BA" w:rsidRDefault="004939BA" w:rsidP="00A22D4A">
            <w:r>
              <w:rPr>
                <w:rFonts w:ascii="Arial MT" w:eastAsia="Arial MT" w:hAnsi="Arial MT" w:cs="Arial MT"/>
                <w:color w:val="373334"/>
                <w:sz w:val="9"/>
              </w:rPr>
              <w:t xml:space="preserve">Hipertermia benigna, trastornos de la </w:t>
            </w:r>
          </w:p>
          <w:p w14:paraId="0CE790ED" w14:textId="77777777" w:rsidR="004939BA" w:rsidRDefault="004939BA" w:rsidP="00A22D4A">
            <w:r>
              <w:rPr>
                <w:rFonts w:ascii="Arial MT" w:eastAsia="Arial MT" w:hAnsi="Arial MT" w:cs="Arial MT"/>
                <w:color w:val="373334"/>
                <w:sz w:val="9"/>
              </w:rPr>
              <w:t xml:space="preserve">sudoración/regulación de la temperatura, fatiga, fiebre </w:t>
            </w:r>
          </w:p>
        </w:tc>
      </w:tr>
      <w:tr w:rsidR="004939BA" w14:paraId="4C077F26" w14:textId="77777777" w:rsidTr="00A22D4A">
        <w:trPr>
          <w:trHeight w:val="110"/>
        </w:trPr>
        <w:tc>
          <w:tcPr>
            <w:tcW w:w="1875" w:type="dxa"/>
            <w:tcBorders>
              <w:top w:val="single" w:sz="2" w:space="0" w:color="373334"/>
              <w:left w:val="single" w:sz="3" w:space="0" w:color="373334"/>
              <w:bottom w:val="single" w:sz="2" w:space="0" w:color="373334"/>
              <w:right w:val="single" w:sz="2" w:space="0" w:color="373334"/>
            </w:tcBorders>
          </w:tcPr>
          <w:p w14:paraId="2B416074" w14:textId="77777777" w:rsidR="004939BA" w:rsidRDefault="004939BA" w:rsidP="00A22D4A">
            <w:pPr>
              <w:ind w:left="1"/>
            </w:pPr>
            <w:r>
              <w:rPr>
                <w:rFonts w:ascii="Arial MT" w:eastAsia="Arial MT" w:hAnsi="Arial MT" w:cs="Arial MT"/>
                <w:color w:val="373334"/>
                <w:sz w:val="9"/>
              </w:rPr>
              <w:t xml:space="preserve">Muy raras </w:t>
            </w:r>
          </w:p>
        </w:tc>
        <w:tc>
          <w:tcPr>
            <w:tcW w:w="2088" w:type="dxa"/>
            <w:tcBorders>
              <w:top w:val="single" w:sz="2" w:space="0" w:color="373334"/>
              <w:left w:val="single" w:sz="2" w:space="0" w:color="373334"/>
              <w:bottom w:val="single" w:sz="2" w:space="0" w:color="373334"/>
              <w:right w:val="single" w:sz="3" w:space="0" w:color="373334"/>
            </w:tcBorders>
          </w:tcPr>
          <w:p w14:paraId="061E1B3C" w14:textId="77777777" w:rsidR="004939BA" w:rsidRDefault="004939BA" w:rsidP="00A22D4A">
            <w:r>
              <w:rPr>
                <w:rFonts w:ascii="Arial MT" w:eastAsia="Arial MT" w:hAnsi="Arial MT" w:cs="Arial MT"/>
                <w:color w:val="373334"/>
                <w:sz w:val="9"/>
              </w:rPr>
              <w:t>Muerte súbita inexplicable</w:t>
            </w:r>
          </w:p>
        </w:tc>
      </w:tr>
      <w:tr w:rsidR="004939BA" w14:paraId="7EC2B9EC"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56A5B10A" w14:textId="77777777" w:rsidR="004939BA" w:rsidRDefault="004939BA" w:rsidP="00A22D4A">
            <w:pPr>
              <w:ind w:left="1"/>
            </w:pPr>
            <w:r>
              <w:rPr>
                <w:rFonts w:ascii="Arial MT" w:eastAsia="Arial MT" w:hAnsi="Arial MT" w:cs="Arial MT"/>
                <w:color w:val="373334"/>
                <w:sz w:val="9"/>
              </w:rPr>
              <w:t xml:space="preserve">Frecuencia no conocida </w:t>
            </w:r>
          </w:p>
        </w:tc>
        <w:tc>
          <w:tcPr>
            <w:tcW w:w="2088" w:type="dxa"/>
            <w:tcBorders>
              <w:top w:val="single" w:sz="2" w:space="0" w:color="373334"/>
              <w:left w:val="single" w:sz="2" w:space="0" w:color="373334"/>
              <w:bottom w:val="single" w:sz="2" w:space="0" w:color="373334"/>
              <w:right w:val="single" w:sz="3" w:space="0" w:color="373334"/>
            </w:tcBorders>
          </w:tcPr>
          <w:p w14:paraId="2D85BD7A" w14:textId="77777777" w:rsidR="004939BA" w:rsidRDefault="004939BA" w:rsidP="00A22D4A">
            <w:r>
              <w:rPr>
                <w:rFonts w:ascii="Arial MT" w:eastAsia="Arial MT" w:hAnsi="Arial MT" w:cs="Arial MT"/>
                <w:color w:val="373334"/>
                <w:sz w:val="9"/>
              </w:rPr>
              <w:t>Poliserositis</w:t>
            </w:r>
          </w:p>
        </w:tc>
      </w:tr>
      <w:tr w:rsidR="004939BA" w14:paraId="66EE2CC3"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0F639351" w14:textId="77777777" w:rsidR="004939BA" w:rsidRDefault="004939BA" w:rsidP="00A22D4A">
            <w:pPr>
              <w:ind w:left="42"/>
            </w:pPr>
            <w:r>
              <w:rPr>
                <w:rFonts w:ascii="Arial MT" w:eastAsia="Arial MT" w:hAnsi="Arial MT" w:cs="Arial MT"/>
                <w:b/>
                <w:color w:val="373334"/>
                <w:sz w:val="9"/>
              </w:rPr>
              <w:t xml:space="preserve">Exploraciones complementarias </w:t>
            </w:r>
          </w:p>
        </w:tc>
        <w:tc>
          <w:tcPr>
            <w:tcW w:w="2088" w:type="dxa"/>
            <w:tcBorders>
              <w:top w:val="single" w:sz="2" w:space="0" w:color="373334"/>
              <w:left w:val="single" w:sz="2" w:space="0" w:color="373334"/>
              <w:bottom w:val="single" w:sz="2" w:space="0" w:color="373334"/>
              <w:right w:val="single" w:sz="3" w:space="0" w:color="373334"/>
            </w:tcBorders>
          </w:tcPr>
          <w:p w14:paraId="7A173236" w14:textId="77777777" w:rsidR="004939BA" w:rsidRDefault="004939BA" w:rsidP="00A22D4A"/>
        </w:tc>
      </w:tr>
      <w:tr w:rsidR="004939BA" w14:paraId="521F5F81"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5A382B73" w14:textId="77777777" w:rsidR="004939BA" w:rsidRDefault="004939BA" w:rsidP="00A22D4A">
            <w:pPr>
              <w:ind w:left="1"/>
            </w:pPr>
            <w:r>
              <w:rPr>
                <w:rFonts w:ascii="Arial MT" w:eastAsia="Arial MT" w:hAnsi="Arial MT" w:cs="Arial MT"/>
                <w:color w:val="373334"/>
                <w:sz w:val="9"/>
              </w:rPr>
              <w:t>Raras</w:t>
            </w:r>
          </w:p>
        </w:tc>
        <w:tc>
          <w:tcPr>
            <w:tcW w:w="2088" w:type="dxa"/>
            <w:tcBorders>
              <w:top w:val="single" w:sz="2" w:space="0" w:color="373334"/>
              <w:left w:val="single" w:sz="2" w:space="0" w:color="373334"/>
              <w:bottom w:val="single" w:sz="2" w:space="0" w:color="373334"/>
              <w:right w:val="single" w:sz="3" w:space="0" w:color="373334"/>
            </w:tcBorders>
          </w:tcPr>
          <w:p w14:paraId="37E7C939" w14:textId="77777777" w:rsidR="004939BA" w:rsidRDefault="004939BA" w:rsidP="00A22D4A">
            <w:r>
              <w:rPr>
                <w:rFonts w:ascii="Arial MT" w:eastAsia="Arial MT" w:hAnsi="Arial MT" w:cs="Arial MT"/>
                <w:color w:val="373334"/>
                <w:sz w:val="9"/>
              </w:rPr>
              <w:t>Aumento de las CPK</w:t>
            </w:r>
          </w:p>
        </w:tc>
      </w:tr>
      <w:tr w:rsidR="004939BA" w14:paraId="4FB1B02A"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189FC2DD" w14:textId="77777777" w:rsidR="004939BA" w:rsidRDefault="004939BA" w:rsidP="00A22D4A">
            <w:pPr>
              <w:ind w:left="1"/>
            </w:pPr>
            <w:r>
              <w:rPr>
                <w:rFonts w:ascii="Arial MT" w:eastAsia="Arial MT" w:hAnsi="Arial MT" w:cs="Arial MT"/>
                <w:color w:val="373334"/>
                <w:sz w:val="9"/>
              </w:rPr>
              <w:t xml:space="preserve">Muy raras </w:t>
            </w:r>
          </w:p>
        </w:tc>
        <w:tc>
          <w:tcPr>
            <w:tcW w:w="2088" w:type="dxa"/>
            <w:tcBorders>
              <w:top w:val="single" w:sz="2" w:space="0" w:color="373334"/>
              <w:left w:val="single" w:sz="2" w:space="0" w:color="373334"/>
              <w:bottom w:val="single" w:sz="2" w:space="0" w:color="373334"/>
              <w:right w:val="single" w:sz="3" w:space="0" w:color="373334"/>
            </w:tcBorders>
          </w:tcPr>
          <w:p w14:paraId="44035A72" w14:textId="77777777" w:rsidR="004939BA" w:rsidRDefault="004939BA" w:rsidP="00A22D4A">
            <w:r>
              <w:rPr>
                <w:rFonts w:ascii="Arial MT" w:eastAsia="Arial MT" w:hAnsi="Arial MT" w:cs="Arial MT"/>
                <w:color w:val="373334"/>
                <w:sz w:val="9"/>
              </w:rPr>
              <w:t>Poliserositis</w:t>
            </w:r>
          </w:p>
        </w:tc>
      </w:tr>
      <w:tr w:rsidR="004939BA" w14:paraId="2F858239"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6EC0128C" w14:textId="77777777" w:rsidR="004939BA" w:rsidRDefault="004939BA" w:rsidP="00A22D4A">
            <w:pPr>
              <w:ind w:left="1"/>
            </w:pPr>
            <w:r>
              <w:rPr>
                <w:rFonts w:ascii="Arial MT" w:eastAsia="Arial MT" w:hAnsi="Arial MT" w:cs="Arial MT"/>
                <w:color w:val="373334"/>
                <w:sz w:val="9"/>
              </w:rPr>
              <w:t xml:space="preserve">Frecuencia no conocida </w:t>
            </w:r>
          </w:p>
        </w:tc>
        <w:tc>
          <w:tcPr>
            <w:tcW w:w="2088" w:type="dxa"/>
            <w:tcBorders>
              <w:top w:val="single" w:sz="2" w:space="0" w:color="373334"/>
              <w:left w:val="single" w:sz="2" w:space="0" w:color="373334"/>
              <w:bottom w:val="single" w:sz="2" w:space="0" w:color="373334"/>
              <w:right w:val="single" w:sz="3" w:space="0" w:color="373334"/>
            </w:tcBorders>
          </w:tcPr>
          <w:p w14:paraId="59947626" w14:textId="77777777" w:rsidR="004939BA" w:rsidRDefault="004939BA" w:rsidP="00A22D4A"/>
        </w:tc>
      </w:tr>
      <w:tr w:rsidR="004939BA" w14:paraId="79E5FC8F" w14:textId="77777777" w:rsidTr="00A22D4A">
        <w:trPr>
          <w:trHeight w:val="214"/>
        </w:trPr>
        <w:tc>
          <w:tcPr>
            <w:tcW w:w="3963" w:type="dxa"/>
            <w:gridSpan w:val="2"/>
            <w:tcBorders>
              <w:top w:val="single" w:sz="2" w:space="0" w:color="373334"/>
              <w:left w:val="single" w:sz="3" w:space="0" w:color="373334"/>
              <w:bottom w:val="single" w:sz="2" w:space="0" w:color="373334"/>
              <w:right w:val="single" w:sz="3" w:space="0" w:color="373334"/>
            </w:tcBorders>
          </w:tcPr>
          <w:p w14:paraId="2FE18632" w14:textId="77777777" w:rsidR="004939BA" w:rsidRDefault="004939BA" w:rsidP="00A22D4A">
            <w:pPr>
              <w:ind w:left="1" w:right="99"/>
            </w:pPr>
            <w:r>
              <w:rPr>
                <w:rFonts w:ascii="Arial MT" w:eastAsia="Arial MT" w:hAnsi="Arial MT" w:cs="Arial MT"/>
                <w:b/>
                <w:color w:val="373334"/>
                <w:sz w:val="9"/>
              </w:rPr>
              <w:t>Lesiones traumáticas, intoxicaciones y complicaciones de procedimientos terapéuticos</w:t>
            </w:r>
          </w:p>
        </w:tc>
      </w:tr>
      <w:tr w:rsidR="004939BA" w14:paraId="4B9FA812" w14:textId="77777777" w:rsidTr="00A22D4A">
        <w:trPr>
          <w:trHeight w:val="425"/>
        </w:trPr>
        <w:tc>
          <w:tcPr>
            <w:tcW w:w="1875" w:type="dxa"/>
            <w:tcBorders>
              <w:top w:val="single" w:sz="2" w:space="0" w:color="373334"/>
              <w:left w:val="single" w:sz="3" w:space="0" w:color="373334"/>
              <w:bottom w:val="single" w:sz="2" w:space="0" w:color="373334"/>
              <w:right w:val="single" w:sz="2" w:space="0" w:color="373334"/>
            </w:tcBorders>
          </w:tcPr>
          <w:p w14:paraId="0716F655" w14:textId="77777777" w:rsidR="004939BA" w:rsidRDefault="004939BA" w:rsidP="00A22D4A">
            <w:pPr>
              <w:ind w:left="1"/>
            </w:pPr>
            <w:r>
              <w:rPr>
                <w:rFonts w:ascii="Arial MT" w:eastAsia="Arial MT" w:hAnsi="Arial MT" w:cs="Arial MT"/>
                <w:color w:val="373334"/>
                <w:sz w:val="9"/>
              </w:rPr>
              <w:t>Poco frecuentes</w:t>
            </w:r>
          </w:p>
        </w:tc>
        <w:tc>
          <w:tcPr>
            <w:tcW w:w="2088" w:type="dxa"/>
            <w:tcBorders>
              <w:top w:val="single" w:sz="2" w:space="0" w:color="373334"/>
              <w:left w:val="single" w:sz="2" w:space="0" w:color="373334"/>
              <w:bottom w:val="single" w:sz="2" w:space="0" w:color="373334"/>
              <w:right w:val="single" w:sz="3" w:space="0" w:color="373334"/>
            </w:tcBorders>
          </w:tcPr>
          <w:p w14:paraId="16F4E270" w14:textId="77777777" w:rsidR="004939BA" w:rsidRDefault="004939BA" w:rsidP="00A22D4A">
            <w:r>
              <w:rPr>
                <w:rFonts w:ascii="Arial MT" w:eastAsia="Arial MT" w:hAnsi="Arial MT" w:cs="Arial MT"/>
                <w:color w:val="373334"/>
                <w:sz w:val="9"/>
              </w:rPr>
              <w:t>Caídas (asociadas a ataques epilépticos inducidos por clozapina, somnolencia, hipotensión postural, inestabilidad motora y sensorial)</w:t>
            </w:r>
          </w:p>
        </w:tc>
      </w:tr>
    </w:tbl>
    <w:p w14:paraId="571151B8" w14:textId="77777777" w:rsidR="004939BA" w:rsidRDefault="004939BA" w:rsidP="00540187"/>
    <w:p w14:paraId="19965C77" w14:textId="46FF9C05" w:rsidR="00540187" w:rsidRDefault="00540187" w:rsidP="00540187">
      <w:r>
        <w:t>Pueden darse casos muy raros de taquicardia ventricular y QT prolongado que podrían asociarse con Torsades de Pointes, aunque no hay una relación causa-efecto concluyente con el uso de este medicamento.</w:t>
      </w:r>
    </w:p>
    <w:p w14:paraId="3865FF46" w14:textId="77777777" w:rsidR="00540187" w:rsidRDefault="00540187" w:rsidP="00540187"/>
    <w:p w14:paraId="3BFEEEB1" w14:textId="77777777" w:rsidR="00540187" w:rsidRDefault="00540187" w:rsidP="00540187">
      <w:r>
        <w:t>Notificación de sospechas de reacciones adversas</w:t>
      </w:r>
    </w:p>
    <w:p w14:paraId="3E17DEC2" w14:textId="77777777" w:rsidR="00540187" w:rsidRDefault="00540187" w:rsidP="00540187">
      <w: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  </w:t>
      </w:r>
    </w:p>
    <w:p w14:paraId="34C985E1" w14:textId="77777777" w:rsidR="00540187" w:rsidRDefault="00540187" w:rsidP="00540187"/>
    <w:p w14:paraId="3221D491" w14:textId="77777777" w:rsidR="00540187" w:rsidRDefault="00540187" w:rsidP="00540187">
      <w:r>
        <w:t xml:space="preserve">INTERACCIONES CON MEDICAMENTOS Y ALIMENTOS: </w:t>
      </w:r>
    </w:p>
    <w:p w14:paraId="56E4919F" w14:textId="77777777" w:rsidR="00540187" w:rsidRDefault="00540187" w:rsidP="00540187">
      <w:r>
        <w:t>Contraindicaciones de uso concomitante</w:t>
      </w:r>
    </w:p>
    <w:p w14:paraId="19B35D87" w14:textId="77777777" w:rsidR="00540187" w:rsidRDefault="00540187" w:rsidP="00540187">
      <w:r>
        <w:t>No deben utilizarse concomitantemente con Clozapin sustancias con potencial importante para deprimir la función de la médula ósea (ver Contraindicaciones).</w:t>
      </w:r>
    </w:p>
    <w:p w14:paraId="1117B294" w14:textId="77777777" w:rsidR="00540187" w:rsidRDefault="00540187" w:rsidP="00540187">
      <w:r>
        <w:t>Los fármacos antipsicóticos depot de larga duración (con potencial mielosupresor) no deberán utilizarse concomitantemente con Clozapin ya que no pueden ser eliminados rápidamente del organismo en situaciones en las que pueda ser necesario, p.ej. neutropenia (ver Contraindicaciones).</w:t>
      </w:r>
    </w:p>
    <w:p w14:paraId="552A8386" w14:textId="77777777" w:rsidR="00540187" w:rsidRDefault="00540187" w:rsidP="00540187">
      <w:r>
        <w:t>No debe tomarse alcohol concomitantemente con Clozapin debido a la posible potenciación del efecto sedante.</w:t>
      </w:r>
    </w:p>
    <w:p w14:paraId="5B048884" w14:textId="77777777" w:rsidR="00540187" w:rsidRDefault="00540187" w:rsidP="00540187">
      <w:r>
        <w:t>Precauciones que incluyen ajuste de dosis</w:t>
      </w:r>
    </w:p>
    <w:p w14:paraId="57F60BD0" w14:textId="77777777" w:rsidR="00540187" w:rsidRDefault="00540187" w:rsidP="00540187">
      <w:r>
        <w:t xml:space="preserve">Clozapin puede aumentar los efectos centrales de los depresores del SNC tales como narcóticos, antihistamínicos y benzodiazepinas. Se aconseja especial precaución cuando se inicie el tratamiento en pacientes que estén tomando una benzodiazepina o cualquier otro agente psicótropo. </w:t>
      </w:r>
    </w:p>
    <w:p w14:paraId="15301EEE" w14:textId="77777777" w:rsidR="00540187" w:rsidRDefault="00540187" w:rsidP="00540187">
      <w:r>
        <w:t>Estos pacientes pueden presentar un mayor riesgo de colapso circulatorio que en raras ocasiones puede ser profundo y puede conducir a paro cardíaco y/o respiratorio. Se desconoce si el colapso cardíaco o circulatorio pueda prevenirse mediante un ajuste de la dosis.</w:t>
      </w:r>
    </w:p>
    <w:p w14:paraId="721F474E" w14:textId="77777777" w:rsidR="00540187" w:rsidRDefault="00540187" w:rsidP="00540187">
      <w:r>
        <w:t>Debido a la posibilidad de efectos aditivos, deberá tenerse precaución con la administración concomitante de sustancias con propiedades anticolinérgicas, hipotensoras o depresoras del sistema respiratorio.</w:t>
      </w:r>
    </w:p>
    <w:p w14:paraId="34FF7A0A" w14:textId="77777777" w:rsidR="00540187" w:rsidRDefault="00540187" w:rsidP="00540187">
      <w:r>
        <w:t>Debido a sus propiedades anti-alfa-adrenérgicas, Clozapin puede reducir el efecto hipertensor de norepinefrina u otros fármacos predominantemente alfa-adrenérgicos y revertir el efecto presor de la epinefrina.</w:t>
      </w:r>
    </w:p>
    <w:p w14:paraId="47F9B177" w14:textId="77777777" w:rsidR="00540187" w:rsidRDefault="00540187" w:rsidP="00540187">
      <w:r>
        <w:t xml:space="preserve">La administración concomitante de sustancias conocidas como inhibidoras de la actividad de algunos de los isoenzimas del citocromo P450 puede aumentar los niveles plasmáticos de clozapina y puede ser necesario reducir la dosis de clozapina para prevenir la aparición de efectos adversos. Esto es más importante para los inhibidores del CYP 1A2 como cafeína (ver más adelante), perazina y el inhibidor selectivo de la recaptación de serotonina fluvoxamina. Algunos de los otros inhibidores de la recaptación de serotonina como fluoxetina, paroxetina y, en menor grado, sertralina, son inhibidores del CYP 2D6 y consecuentemente es menos probable una interacción </w:t>
      </w:r>
      <w:r>
        <w:lastRenderedPageBreak/>
        <w:t>farmacocinética relevante con clozapina. De forma similar, las interacciones farmacocinéticas con inhibidores del CYP 3A4 como los antimicóticos azólicos, cimetidina, eritromicina e inhibidores de la proteasa son poco probables aunque se han comunicado algunos casos. Los anticonceptivos hormonales (incluyendo las combinaciones de estrógeno y progesterona o progesterona sola) son inhibidores del CYP 1A2, CYP 3A4 y CYP 2C19. Por lo tanto, el inicio o la suspensión del tratamiento con anticonceptivos hormonales puede requerir un ajuste de la dosis de clozapina, según las necesidades médicas individuales. Debido a que la cafeína aumenta la concentración plasmática de clozapina y disminuye en aproximadamente un 50% tras 5 días sin ingesta de cafeína, pueden ser necesarios cambios en la dosis de clozapina cuando haya un cambio en los hábitos de ingesta de cafeína. En casos de interrupción brusca del hábito de fumar, puede aumentar la concentración plasmática de clozapina, lo que provocaría un aumento de las reacciones adversas.</w:t>
      </w:r>
    </w:p>
    <w:p w14:paraId="511A0848" w14:textId="77777777" w:rsidR="00540187" w:rsidRDefault="00540187" w:rsidP="00540187">
      <w:r>
        <w:t>Interacción entre citalopram y clozapina, puede aumentar el riesgo de reacciones adversas asociadas con clozapina. La naturaleza de esta interacción no se conoce.</w:t>
      </w:r>
    </w:p>
    <w:p w14:paraId="6EBC9B21" w14:textId="77777777" w:rsidR="00540187" w:rsidRDefault="00540187" w:rsidP="00540187">
      <w:r>
        <w:t>La administración concomitante de sustancias conocidas como inductoras de los enzimas del citocromo P450 pueden disminuir los niveles plasmáticos de clozapina, lo que puede llevar a una disminución de su eficacia. Sustancias conocidas como inductoras de la actividad del enzima del citocromo P450 y de los que se han comunicado interacciones con clozapina incluyen, por ejemplo, carbamazepina (no debe utilizarse concomitantemente con clozapina, debido a su potencial mielosupresor), fenitoína y rifampicina. Los inductores conocidos del citocromo CYP1A2, como por ejemplo el omeprazol, pueden conllevar a la disminución de los niveles de clozapina.  Cuando se utilice en combinación con estas sustancias, ha de tenerse en cuenta la capacidad que tienen para reducir la eficacia de la clozapina.</w:t>
      </w:r>
    </w:p>
    <w:p w14:paraId="54982D2F" w14:textId="77777777" w:rsidR="00540187" w:rsidRDefault="00540187" w:rsidP="00540187">
      <w:r>
        <w:t>Otros</w:t>
      </w:r>
    </w:p>
    <w:p w14:paraId="6D0A4900" w14:textId="77777777" w:rsidR="00540187" w:rsidRDefault="00540187" w:rsidP="00540187">
      <w:r>
        <w:t>El uso concomitante de litio u otros agentes activos del SNC pueden aumentar el riesgo de aparición de un síndrome neuroléptico maligno (SNM).</w:t>
      </w:r>
    </w:p>
    <w:p w14:paraId="3E9F788A" w14:textId="77777777" w:rsidR="00540187" w:rsidRDefault="00540187" w:rsidP="00540187">
      <w:r>
        <w:t>Pueden darse casos raros pero graves de crisis epilépticas, inclusive en pacientes no epilépticos y casos aislados de delirio cuando se administró clozapina conjuntamente con ácido valproico. Estos efectos son probablemente debidos a una interacción farmacodinámica, cuyo mecanismo no ha sido determinado.</w:t>
      </w:r>
    </w:p>
    <w:p w14:paraId="06E02392" w14:textId="77777777" w:rsidR="00540187" w:rsidRDefault="00540187" w:rsidP="00540187">
      <w:r>
        <w:t>Se recomienda precaución en pacientes que reciban tratamiento concomitante con otras sustancias inhibidoras o inductoras de los isoenzimas del citocromo P450. No se observan interacciones clínicamente relevantes con antidepresivos tricíclicos, fenotiazinas y antiarrítmicos tipo Ic, fármacos todos ellos con afinidad por el citocromo P450 2D6.</w:t>
      </w:r>
    </w:p>
    <w:p w14:paraId="5FC15EEB" w14:textId="77777777" w:rsidR="00540187" w:rsidRDefault="00540187" w:rsidP="00540187">
      <w:r>
        <w:t>Como con otros antipsicóticos, debe tenerse precaución cuando se prescribe clozapina junto con medicamentos que se sabe que aumentan el intervalo QTc o que causan desequilibrio electrolito.</w:t>
      </w:r>
    </w:p>
    <w:p w14:paraId="18635722" w14:textId="77777777" w:rsidR="00540187" w:rsidRDefault="00540187" w:rsidP="00540187">
      <w:r>
        <w:t>Una descripción de las interacciones farmacológicas con Clozapin que se consideran más importantes se indican a continuación. La lista no es exhaustiva.</w:t>
      </w:r>
    </w:p>
    <w:p w14:paraId="36126D32" w14:textId="77777777" w:rsidR="00540187" w:rsidRDefault="00540187" w:rsidP="00540187">
      <w:r>
        <w:t>Referencia a las interacciones farmacológicas más relevantes</w:t>
      </w:r>
    </w:p>
    <w:p w14:paraId="7BF3F9B1" w14:textId="77777777" w:rsidR="00540187" w:rsidRDefault="00540187" w:rsidP="00540187"/>
    <w:tbl>
      <w:tblPr>
        <w:tblStyle w:val="TableGrid"/>
        <w:tblW w:w="3965" w:type="dxa"/>
        <w:tblInd w:w="2530" w:type="dxa"/>
        <w:tblCellMar>
          <w:top w:w="17" w:type="dxa"/>
          <w:left w:w="0" w:type="dxa"/>
          <w:bottom w:w="0" w:type="dxa"/>
          <w:right w:w="0" w:type="dxa"/>
        </w:tblCellMar>
        <w:tblLook w:val="04A0" w:firstRow="1" w:lastRow="0" w:firstColumn="1" w:lastColumn="0" w:noHBand="0" w:noVBand="1"/>
      </w:tblPr>
      <w:tblGrid>
        <w:gridCol w:w="1350"/>
        <w:gridCol w:w="1251"/>
        <w:gridCol w:w="1364"/>
      </w:tblGrid>
      <w:tr w:rsidR="00641C9B" w14:paraId="506C7EF0" w14:textId="77777777" w:rsidTr="00A22D4A">
        <w:trPr>
          <w:trHeight w:val="100"/>
        </w:trPr>
        <w:tc>
          <w:tcPr>
            <w:tcW w:w="1351" w:type="dxa"/>
            <w:tcBorders>
              <w:top w:val="single" w:sz="2" w:space="0" w:color="373334"/>
              <w:left w:val="single" w:sz="2" w:space="0" w:color="373334"/>
              <w:bottom w:val="single" w:sz="2" w:space="0" w:color="373334"/>
              <w:right w:val="single" w:sz="2" w:space="0" w:color="373334"/>
            </w:tcBorders>
          </w:tcPr>
          <w:p w14:paraId="15019E0B" w14:textId="77777777" w:rsidR="00641C9B" w:rsidRDefault="00641C9B" w:rsidP="00A22D4A">
            <w:pPr>
              <w:ind w:left="2"/>
              <w:jc w:val="center"/>
            </w:pPr>
            <w:r>
              <w:rPr>
                <w:rFonts w:ascii="Arial MT" w:eastAsia="Arial MT" w:hAnsi="Arial MT" w:cs="Arial MT"/>
                <w:b/>
                <w:color w:val="373334"/>
                <w:sz w:val="8"/>
              </w:rPr>
              <w:t>Fármaco</w:t>
            </w:r>
          </w:p>
        </w:tc>
        <w:tc>
          <w:tcPr>
            <w:tcW w:w="1251" w:type="dxa"/>
            <w:tcBorders>
              <w:top w:val="single" w:sz="2" w:space="0" w:color="373334"/>
              <w:left w:val="single" w:sz="2" w:space="0" w:color="373334"/>
              <w:bottom w:val="single" w:sz="2" w:space="0" w:color="373334"/>
              <w:right w:val="single" w:sz="2" w:space="0" w:color="373334"/>
            </w:tcBorders>
          </w:tcPr>
          <w:p w14:paraId="7A18BECB" w14:textId="77777777" w:rsidR="00641C9B" w:rsidRDefault="00641C9B" w:rsidP="00A22D4A">
            <w:pPr>
              <w:ind w:left="1"/>
              <w:jc w:val="center"/>
            </w:pPr>
            <w:r>
              <w:rPr>
                <w:rFonts w:ascii="Arial MT" w:eastAsia="Arial MT" w:hAnsi="Arial MT" w:cs="Arial MT"/>
                <w:b/>
                <w:color w:val="373334"/>
                <w:sz w:val="8"/>
              </w:rPr>
              <w:t xml:space="preserve">Interacciones </w:t>
            </w:r>
          </w:p>
        </w:tc>
        <w:tc>
          <w:tcPr>
            <w:tcW w:w="1364" w:type="dxa"/>
            <w:tcBorders>
              <w:top w:val="single" w:sz="2" w:space="0" w:color="373334"/>
              <w:left w:val="single" w:sz="2" w:space="0" w:color="373334"/>
              <w:bottom w:val="single" w:sz="2" w:space="0" w:color="373334"/>
              <w:right w:val="single" w:sz="2" w:space="0" w:color="373334"/>
            </w:tcBorders>
          </w:tcPr>
          <w:p w14:paraId="225C77CC" w14:textId="77777777" w:rsidR="00641C9B" w:rsidRDefault="00641C9B" w:rsidP="00A22D4A">
            <w:pPr>
              <w:ind w:left="2"/>
              <w:jc w:val="center"/>
            </w:pPr>
            <w:r>
              <w:rPr>
                <w:rFonts w:ascii="Arial MT" w:eastAsia="Arial MT" w:hAnsi="Arial MT" w:cs="Arial MT"/>
                <w:b/>
                <w:color w:val="373334"/>
                <w:sz w:val="8"/>
              </w:rPr>
              <w:t>Comentarios</w:t>
            </w:r>
          </w:p>
        </w:tc>
      </w:tr>
      <w:tr w:rsidR="00641C9B" w14:paraId="31B0B1B1" w14:textId="77777777" w:rsidTr="00A22D4A">
        <w:trPr>
          <w:trHeight w:val="652"/>
        </w:trPr>
        <w:tc>
          <w:tcPr>
            <w:tcW w:w="1351" w:type="dxa"/>
            <w:tcBorders>
              <w:top w:val="single" w:sz="2" w:space="0" w:color="373334"/>
              <w:left w:val="single" w:sz="2" w:space="0" w:color="373334"/>
              <w:bottom w:val="single" w:sz="2" w:space="0" w:color="373334"/>
              <w:right w:val="single" w:sz="2" w:space="0" w:color="373334"/>
            </w:tcBorders>
          </w:tcPr>
          <w:p w14:paraId="6D4E8F02" w14:textId="77777777" w:rsidR="00641C9B" w:rsidRDefault="00641C9B" w:rsidP="00A22D4A">
            <w:pPr>
              <w:ind w:left="41" w:right="24"/>
            </w:pPr>
            <w:r>
              <w:rPr>
                <w:rFonts w:ascii="Arial MT" w:eastAsia="Arial MT" w:hAnsi="Arial MT" w:cs="Arial MT"/>
                <w:color w:val="373334"/>
                <w:sz w:val="8"/>
              </w:rPr>
              <w:t xml:space="preserve">Supresores de la médula ósea (p.ej. carbamazepina ,cloranfenicol, sulfonamidas(p.ej. cotrimoxazol), analgésicos pirazolónicos </w:t>
            </w:r>
          </w:p>
          <w:p w14:paraId="79D1270D" w14:textId="77777777" w:rsidR="00641C9B" w:rsidRDefault="00641C9B" w:rsidP="00A22D4A">
            <w:pPr>
              <w:ind w:left="41"/>
            </w:pPr>
            <w:r>
              <w:rPr>
                <w:rFonts w:ascii="Arial MT" w:eastAsia="Arial MT" w:hAnsi="Arial MT" w:cs="Arial MT"/>
                <w:color w:val="373334"/>
                <w:sz w:val="8"/>
              </w:rPr>
              <w:t>(p.ej.fenilbutazona),penicilamina, agentes citotóxicos y antipsicóticos inyectables depot de larga duración</w:t>
            </w:r>
          </w:p>
        </w:tc>
        <w:tc>
          <w:tcPr>
            <w:tcW w:w="1251" w:type="dxa"/>
            <w:tcBorders>
              <w:top w:val="single" w:sz="2" w:space="0" w:color="373334"/>
              <w:left w:val="single" w:sz="2" w:space="0" w:color="373334"/>
              <w:bottom w:val="single" w:sz="2" w:space="0" w:color="373334"/>
              <w:right w:val="single" w:sz="2" w:space="0" w:color="373334"/>
            </w:tcBorders>
          </w:tcPr>
          <w:p w14:paraId="67D40A24" w14:textId="77777777" w:rsidR="00641C9B" w:rsidRDefault="00641C9B" w:rsidP="00A22D4A">
            <w:pPr>
              <w:ind w:left="42"/>
            </w:pPr>
            <w:r>
              <w:rPr>
                <w:rFonts w:ascii="Arial MT" w:eastAsia="Arial MT" w:hAnsi="Arial MT" w:cs="Arial MT"/>
                <w:color w:val="373334"/>
                <w:sz w:val="8"/>
              </w:rPr>
              <w:t>Interactúan aumentando el riesgo y/o la gravedad de la supresión de la médula ósea</w:t>
            </w:r>
          </w:p>
        </w:tc>
        <w:tc>
          <w:tcPr>
            <w:tcW w:w="1364" w:type="dxa"/>
            <w:tcBorders>
              <w:top w:val="single" w:sz="2" w:space="0" w:color="373334"/>
              <w:left w:val="single" w:sz="2" w:space="0" w:color="373334"/>
              <w:bottom w:val="single" w:sz="2" w:space="0" w:color="373334"/>
              <w:right w:val="single" w:sz="2" w:space="0" w:color="373334"/>
            </w:tcBorders>
          </w:tcPr>
          <w:p w14:paraId="4C9600FC" w14:textId="77777777" w:rsidR="00641C9B" w:rsidRDefault="00641C9B" w:rsidP="00A22D4A">
            <w:pPr>
              <w:ind w:left="42" w:right="20"/>
            </w:pPr>
            <w:r>
              <w:rPr>
                <w:rFonts w:ascii="Arial MT" w:eastAsia="Arial MT" w:hAnsi="Arial MT" w:cs="Arial MT"/>
                <w:color w:val="373334"/>
                <w:sz w:val="8"/>
              </w:rPr>
              <w:t>Clozapina no debe utilizarse concomitantemente con otros fármacos de los que se conoce que poseen potencial para suprimir la función de la médula ósea (ver Contraindicaciones)</w:t>
            </w:r>
          </w:p>
        </w:tc>
      </w:tr>
      <w:tr w:rsidR="00641C9B" w14:paraId="6AFB9E84" w14:textId="77777777" w:rsidTr="00A22D4A">
        <w:trPr>
          <w:trHeight w:val="901"/>
        </w:trPr>
        <w:tc>
          <w:tcPr>
            <w:tcW w:w="1351" w:type="dxa"/>
            <w:tcBorders>
              <w:top w:val="single" w:sz="2" w:space="0" w:color="373334"/>
              <w:left w:val="single" w:sz="2" w:space="0" w:color="373334"/>
              <w:bottom w:val="single" w:sz="2" w:space="0" w:color="373334"/>
              <w:right w:val="single" w:sz="2" w:space="0" w:color="373334"/>
            </w:tcBorders>
          </w:tcPr>
          <w:p w14:paraId="629DAD96" w14:textId="77777777" w:rsidR="00641C9B" w:rsidRDefault="00641C9B" w:rsidP="00A22D4A">
            <w:pPr>
              <w:ind w:left="41"/>
            </w:pPr>
            <w:r>
              <w:rPr>
                <w:rFonts w:ascii="Arial MT" w:eastAsia="Arial MT" w:hAnsi="Arial MT" w:cs="Arial MT"/>
                <w:color w:val="373334"/>
                <w:sz w:val="8"/>
              </w:rPr>
              <w:t xml:space="preserve">Benzodiazepinas </w:t>
            </w:r>
          </w:p>
        </w:tc>
        <w:tc>
          <w:tcPr>
            <w:tcW w:w="1251" w:type="dxa"/>
            <w:tcBorders>
              <w:top w:val="single" w:sz="2" w:space="0" w:color="373334"/>
              <w:left w:val="single" w:sz="2" w:space="0" w:color="373334"/>
              <w:bottom w:val="single" w:sz="2" w:space="0" w:color="373334"/>
              <w:right w:val="single" w:sz="2" w:space="0" w:color="373334"/>
            </w:tcBorders>
          </w:tcPr>
          <w:p w14:paraId="56194EF9" w14:textId="77777777" w:rsidR="00641C9B" w:rsidRDefault="00641C9B" w:rsidP="00A22D4A">
            <w:pPr>
              <w:ind w:left="42"/>
            </w:pPr>
            <w:r>
              <w:rPr>
                <w:rFonts w:ascii="Arial MT" w:eastAsia="Arial MT" w:hAnsi="Arial MT" w:cs="Arial MT"/>
                <w:color w:val="373334"/>
                <w:sz w:val="8"/>
              </w:rPr>
              <w:t>El uso concomitante puede aumentar el riesgo de colapso circulatorio, que puede llevar a paro cardíaco y/o respiratorio</w:t>
            </w:r>
          </w:p>
        </w:tc>
        <w:tc>
          <w:tcPr>
            <w:tcW w:w="1364" w:type="dxa"/>
            <w:tcBorders>
              <w:top w:val="single" w:sz="2" w:space="0" w:color="373334"/>
              <w:left w:val="single" w:sz="2" w:space="0" w:color="373334"/>
              <w:bottom w:val="single" w:sz="2" w:space="0" w:color="373334"/>
              <w:right w:val="single" w:sz="2" w:space="0" w:color="373334"/>
            </w:tcBorders>
          </w:tcPr>
          <w:p w14:paraId="23F78D7C" w14:textId="77777777" w:rsidR="00641C9B" w:rsidRDefault="00641C9B" w:rsidP="00A22D4A">
            <w:pPr>
              <w:ind w:left="42" w:right="15"/>
            </w:pPr>
            <w:r>
              <w:rPr>
                <w:rFonts w:ascii="Arial MT" w:eastAsia="Arial MT" w:hAnsi="Arial MT" w:cs="Arial MT"/>
                <w:color w:val="373334"/>
                <w:sz w:val="8"/>
              </w:rPr>
              <w:t>A pesar de que es raro, se recomienda precaución cuando se usen estos agentes juntos. Las notificaciones sugieren que la depresión circulatoria y el colapso son más probable que aparezcan al inicio del tratamiento con esta combinación o cuando Clozapin se añade a un tratamiento ya establecido con benzodiazepinas</w:t>
            </w:r>
          </w:p>
        </w:tc>
      </w:tr>
      <w:tr w:rsidR="00641C9B" w14:paraId="1FF1F4CA" w14:textId="77777777" w:rsidTr="00A22D4A">
        <w:trPr>
          <w:trHeight w:val="481"/>
        </w:trPr>
        <w:tc>
          <w:tcPr>
            <w:tcW w:w="1351" w:type="dxa"/>
            <w:tcBorders>
              <w:top w:val="single" w:sz="2" w:space="0" w:color="373334"/>
              <w:left w:val="single" w:sz="2" w:space="0" w:color="373334"/>
              <w:bottom w:val="single" w:sz="2" w:space="0" w:color="373334"/>
              <w:right w:val="single" w:sz="2" w:space="0" w:color="373334"/>
            </w:tcBorders>
          </w:tcPr>
          <w:p w14:paraId="51FD314D" w14:textId="77777777" w:rsidR="00641C9B" w:rsidRDefault="00641C9B" w:rsidP="00A22D4A">
            <w:pPr>
              <w:ind w:left="41"/>
            </w:pPr>
            <w:r>
              <w:rPr>
                <w:rFonts w:ascii="Arial MT" w:eastAsia="Arial MT" w:hAnsi="Arial MT" w:cs="Arial MT"/>
                <w:color w:val="373334"/>
                <w:sz w:val="8"/>
              </w:rPr>
              <w:t xml:space="preserve">Anticolinérgicos </w:t>
            </w:r>
          </w:p>
        </w:tc>
        <w:tc>
          <w:tcPr>
            <w:tcW w:w="1251" w:type="dxa"/>
            <w:tcBorders>
              <w:top w:val="single" w:sz="2" w:space="0" w:color="373334"/>
              <w:left w:val="single" w:sz="2" w:space="0" w:color="373334"/>
              <w:bottom w:val="single" w:sz="2" w:space="0" w:color="373334"/>
              <w:right w:val="single" w:sz="2" w:space="0" w:color="373334"/>
            </w:tcBorders>
          </w:tcPr>
          <w:p w14:paraId="795940D8" w14:textId="77777777" w:rsidR="00641C9B" w:rsidRDefault="00641C9B" w:rsidP="00A22D4A">
            <w:pPr>
              <w:ind w:left="42"/>
            </w:pPr>
            <w:r>
              <w:rPr>
                <w:rFonts w:ascii="Arial MT" w:eastAsia="Arial MT" w:hAnsi="Arial MT" w:cs="Arial MT"/>
                <w:color w:val="373334"/>
                <w:sz w:val="8"/>
              </w:rPr>
              <w:t>Clozapin potencia la acción de estos agentes por adición de actividad anticolinérgica.</w:t>
            </w:r>
          </w:p>
        </w:tc>
        <w:tc>
          <w:tcPr>
            <w:tcW w:w="1364" w:type="dxa"/>
            <w:tcBorders>
              <w:top w:val="single" w:sz="2" w:space="0" w:color="373334"/>
              <w:left w:val="single" w:sz="2" w:space="0" w:color="373334"/>
              <w:bottom w:val="single" w:sz="2" w:space="0" w:color="373334"/>
              <w:right w:val="single" w:sz="2" w:space="0" w:color="373334"/>
            </w:tcBorders>
          </w:tcPr>
          <w:p w14:paraId="7019918E" w14:textId="77777777" w:rsidR="00641C9B" w:rsidRDefault="00641C9B" w:rsidP="00A22D4A">
            <w:pPr>
              <w:ind w:left="42"/>
            </w:pPr>
            <w:r>
              <w:rPr>
                <w:rFonts w:ascii="Arial MT" w:eastAsia="Arial MT" w:hAnsi="Arial MT" w:cs="Arial MT"/>
                <w:color w:val="373334"/>
                <w:sz w:val="8"/>
              </w:rPr>
              <w:t>Observar al paciente por si aparecen efectos adversos anticolinérgicos como estreñimiento, especialmente cuando se utiliza para ayudar a controlar la hipersalivación.</w:t>
            </w:r>
          </w:p>
        </w:tc>
      </w:tr>
      <w:tr w:rsidR="00641C9B" w14:paraId="7FE6BDD0" w14:textId="77777777" w:rsidTr="00A22D4A">
        <w:trPr>
          <w:trHeight w:val="651"/>
        </w:trPr>
        <w:tc>
          <w:tcPr>
            <w:tcW w:w="1351" w:type="dxa"/>
            <w:tcBorders>
              <w:top w:val="single" w:sz="2" w:space="0" w:color="373334"/>
              <w:left w:val="single" w:sz="2" w:space="0" w:color="373334"/>
              <w:bottom w:val="single" w:sz="2" w:space="0" w:color="373334"/>
              <w:right w:val="single" w:sz="2" w:space="0" w:color="373334"/>
            </w:tcBorders>
          </w:tcPr>
          <w:p w14:paraId="2048BB22" w14:textId="77777777" w:rsidR="00641C9B" w:rsidRDefault="00641C9B" w:rsidP="00A22D4A">
            <w:pPr>
              <w:ind w:left="41"/>
            </w:pPr>
            <w:r>
              <w:rPr>
                <w:rFonts w:ascii="Arial MT" w:eastAsia="Arial MT" w:hAnsi="Arial MT" w:cs="Arial MT"/>
                <w:color w:val="373334"/>
                <w:sz w:val="8"/>
              </w:rPr>
              <w:t xml:space="preserve">Antihipertesivos </w:t>
            </w:r>
          </w:p>
        </w:tc>
        <w:tc>
          <w:tcPr>
            <w:tcW w:w="1251" w:type="dxa"/>
            <w:tcBorders>
              <w:top w:val="single" w:sz="2" w:space="0" w:color="373334"/>
              <w:left w:val="single" w:sz="2" w:space="0" w:color="373334"/>
              <w:bottom w:val="single" w:sz="2" w:space="0" w:color="373334"/>
              <w:right w:val="single" w:sz="2" w:space="0" w:color="373334"/>
            </w:tcBorders>
          </w:tcPr>
          <w:p w14:paraId="213FC159" w14:textId="77777777" w:rsidR="00641C9B" w:rsidRDefault="00641C9B" w:rsidP="00A22D4A">
            <w:pPr>
              <w:ind w:left="42"/>
            </w:pPr>
            <w:r>
              <w:rPr>
                <w:rFonts w:ascii="Arial MT" w:eastAsia="Arial MT" w:hAnsi="Arial MT" w:cs="Arial MT"/>
                <w:color w:val="373334"/>
                <w:sz w:val="8"/>
              </w:rPr>
              <w:t>Clozapin puede potenciar el efecto hipotensor de estos agentes debido a que antagoniza sus efectos simpaticomiméticos</w:t>
            </w:r>
          </w:p>
        </w:tc>
        <w:tc>
          <w:tcPr>
            <w:tcW w:w="1364" w:type="dxa"/>
            <w:tcBorders>
              <w:top w:val="single" w:sz="2" w:space="0" w:color="373334"/>
              <w:left w:val="single" w:sz="2" w:space="0" w:color="373334"/>
              <w:bottom w:val="single" w:sz="2" w:space="0" w:color="373334"/>
              <w:right w:val="single" w:sz="2" w:space="0" w:color="373334"/>
            </w:tcBorders>
          </w:tcPr>
          <w:p w14:paraId="25E93D70" w14:textId="77777777" w:rsidR="00641C9B" w:rsidRDefault="00641C9B" w:rsidP="00A22D4A">
            <w:pPr>
              <w:ind w:left="42" w:right="17"/>
            </w:pPr>
            <w:r>
              <w:rPr>
                <w:rFonts w:ascii="Arial MT" w:eastAsia="Arial MT" w:hAnsi="Arial MT" w:cs="Arial MT"/>
                <w:color w:val="373334"/>
                <w:sz w:val="8"/>
              </w:rPr>
              <w:t>Se recomienda precaución si se utiliza Clozapin de forma concomitante con fármacos antihipertensores. Los pacientes deben ser advertidos del riesgo de hipotensión, especialmente durante el periodo inicial de titulación de dosis.</w:t>
            </w:r>
          </w:p>
        </w:tc>
      </w:tr>
      <w:tr w:rsidR="00641C9B" w14:paraId="22720150" w14:textId="77777777" w:rsidTr="00A22D4A">
        <w:trPr>
          <w:trHeight w:val="796"/>
        </w:trPr>
        <w:tc>
          <w:tcPr>
            <w:tcW w:w="1351" w:type="dxa"/>
            <w:tcBorders>
              <w:top w:val="single" w:sz="2" w:space="0" w:color="373334"/>
              <w:left w:val="single" w:sz="2" w:space="0" w:color="373334"/>
              <w:bottom w:val="single" w:sz="2" w:space="0" w:color="373334"/>
              <w:right w:val="single" w:sz="2" w:space="0" w:color="373334"/>
            </w:tcBorders>
          </w:tcPr>
          <w:p w14:paraId="520CC361" w14:textId="77777777" w:rsidR="00641C9B" w:rsidRDefault="00641C9B" w:rsidP="00A22D4A">
            <w:pPr>
              <w:spacing w:line="248" w:lineRule="auto"/>
              <w:ind w:left="41"/>
            </w:pPr>
            <w:r>
              <w:rPr>
                <w:rFonts w:ascii="Arial MT" w:eastAsia="Arial MT" w:hAnsi="Arial MT" w:cs="Arial MT"/>
                <w:color w:val="373334"/>
                <w:sz w:val="8"/>
              </w:rPr>
              <w:lastRenderedPageBreak/>
              <w:t>Alcohol, IMAOs, depresores del SNC, incluyendo narcóticos y</w:t>
            </w:r>
          </w:p>
          <w:p w14:paraId="4EB052F4" w14:textId="77777777" w:rsidR="00641C9B" w:rsidRDefault="00641C9B" w:rsidP="00A22D4A">
            <w:pPr>
              <w:ind w:left="41"/>
            </w:pPr>
            <w:r>
              <w:rPr>
                <w:rFonts w:ascii="Arial MT" w:eastAsia="Arial MT" w:hAnsi="Arial MT" w:cs="Arial MT"/>
                <w:color w:val="373334"/>
                <w:sz w:val="8"/>
              </w:rPr>
              <w:t>benzodiazepinas</w:t>
            </w:r>
          </w:p>
        </w:tc>
        <w:tc>
          <w:tcPr>
            <w:tcW w:w="1251" w:type="dxa"/>
            <w:tcBorders>
              <w:top w:val="single" w:sz="2" w:space="0" w:color="373334"/>
              <w:left w:val="single" w:sz="2" w:space="0" w:color="373334"/>
              <w:bottom w:val="single" w:sz="2" w:space="0" w:color="373334"/>
              <w:right w:val="single" w:sz="2" w:space="0" w:color="373334"/>
            </w:tcBorders>
          </w:tcPr>
          <w:p w14:paraId="5D6B3800" w14:textId="77777777" w:rsidR="00641C9B" w:rsidRDefault="00641C9B" w:rsidP="00A22D4A">
            <w:pPr>
              <w:ind w:left="42"/>
            </w:pPr>
            <w:r>
              <w:rPr>
                <w:rFonts w:ascii="Arial MT" w:eastAsia="Arial MT" w:hAnsi="Arial MT" w:cs="Arial MT"/>
                <w:color w:val="373334"/>
                <w:sz w:val="8"/>
              </w:rPr>
              <w:t xml:space="preserve">Aumento de los efectos centrales. Depresión aditiva del SNC e interferencia del comportamiento cognitivo ymotor cuando se usa en combinación con estas sustancias </w:t>
            </w:r>
          </w:p>
        </w:tc>
        <w:tc>
          <w:tcPr>
            <w:tcW w:w="1364" w:type="dxa"/>
            <w:tcBorders>
              <w:top w:val="single" w:sz="2" w:space="0" w:color="373334"/>
              <w:left w:val="single" w:sz="2" w:space="0" w:color="373334"/>
              <w:bottom w:val="single" w:sz="2" w:space="0" w:color="373334"/>
              <w:right w:val="single" w:sz="2" w:space="0" w:color="373334"/>
            </w:tcBorders>
          </w:tcPr>
          <w:p w14:paraId="75503E46" w14:textId="77777777" w:rsidR="00641C9B" w:rsidRDefault="00641C9B" w:rsidP="00A22D4A">
            <w:pPr>
              <w:ind w:left="42" w:right="48"/>
            </w:pPr>
            <w:r>
              <w:rPr>
                <w:rFonts w:ascii="Arial MT" w:eastAsia="Arial MT" w:hAnsi="Arial MT" w:cs="Arial MT"/>
                <w:color w:val="373334"/>
                <w:sz w:val="8"/>
              </w:rPr>
              <w:t>Se recomienda precaución cuando se utilice Clozapin en combinación con otros fármacos activos sobre el SNC. Advertir al paciente de los posibles efectos sedantes aditivos y recomendar no conducir ni manejar maquinaria.</w:t>
            </w:r>
          </w:p>
        </w:tc>
      </w:tr>
      <w:tr w:rsidR="00641C9B" w14:paraId="514E2FE1" w14:textId="77777777" w:rsidTr="00A22D4A">
        <w:trPr>
          <w:trHeight w:val="491"/>
        </w:trPr>
        <w:tc>
          <w:tcPr>
            <w:tcW w:w="1351" w:type="dxa"/>
            <w:tcBorders>
              <w:top w:val="single" w:sz="2" w:space="0" w:color="373334"/>
              <w:left w:val="single" w:sz="2" w:space="0" w:color="373334"/>
              <w:bottom w:val="single" w:sz="2" w:space="0" w:color="373334"/>
              <w:right w:val="single" w:sz="2" w:space="0" w:color="373334"/>
            </w:tcBorders>
          </w:tcPr>
          <w:p w14:paraId="0AA91389" w14:textId="77777777" w:rsidR="00641C9B" w:rsidRDefault="00641C9B" w:rsidP="00A22D4A">
            <w:pPr>
              <w:spacing w:line="245" w:lineRule="auto"/>
              <w:ind w:left="41"/>
            </w:pPr>
            <w:r>
              <w:rPr>
                <w:rFonts w:ascii="Arial MT" w:eastAsia="Arial MT" w:hAnsi="Arial MT" w:cs="Arial MT"/>
                <w:color w:val="373334"/>
                <w:sz w:val="8"/>
              </w:rPr>
              <w:t>Sustancia con elevada unión a proteínas (p.ej. warfarina,</w:t>
            </w:r>
          </w:p>
          <w:p w14:paraId="135F2E76" w14:textId="77777777" w:rsidR="00641C9B" w:rsidRDefault="00641C9B" w:rsidP="00A22D4A">
            <w:pPr>
              <w:ind w:left="41"/>
            </w:pPr>
            <w:r>
              <w:rPr>
                <w:rFonts w:ascii="Arial MT" w:eastAsia="Arial MT" w:hAnsi="Arial MT" w:cs="Arial MT"/>
                <w:color w:val="373334"/>
                <w:sz w:val="8"/>
              </w:rPr>
              <w:t>digoxina)</w:t>
            </w:r>
          </w:p>
        </w:tc>
        <w:tc>
          <w:tcPr>
            <w:tcW w:w="1251" w:type="dxa"/>
            <w:tcBorders>
              <w:top w:val="single" w:sz="2" w:space="0" w:color="373334"/>
              <w:left w:val="single" w:sz="2" w:space="0" w:color="373334"/>
              <w:bottom w:val="single" w:sz="2" w:space="0" w:color="373334"/>
              <w:right w:val="single" w:sz="2" w:space="0" w:color="373334"/>
            </w:tcBorders>
          </w:tcPr>
          <w:p w14:paraId="4586277A" w14:textId="77777777" w:rsidR="00641C9B" w:rsidRDefault="00641C9B" w:rsidP="00A22D4A">
            <w:pPr>
              <w:ind w:left="40"/>
            </w:pPr>
            <w:r>
              <w:rPr>
                <w:rFonts w:ascii="Arial MT" w:eastAsia="Arial MT" w:hAnsi="Arial MT" w:cs="Arial MT"/>
                <w:color w:val="373334"/>
                <w:sz w:val="8"/>
              </w:rPr>
              <w:t>Clozapin puede provocar un aumento en las concentraciones plasmáticas de estas sustancias debido a su desplazamiento de las proteínas plasmáticas.</w:t>
            </w:r>
          </w:p>
        </w:tc>
        <w:tc>
          <w:tcPr>
            <w:tcW w:w="1364" w:type="dxa"/>
            <w:tcBorders>
              <w:top w:val="single" w:sz="2" w:space="0" w:color="373334"/>
              <w:left w:val="single" w:sz="2" w:space="0" w:color="373334"/>
              <w:bottom w:val="single" w:sz="2" w:space="0" w:color="373334"/>
              <w:right w:val="single" w:sz="2" w:space="0" w:color="373334"/>
            </w:tcBorders>
          </w:tcPr>
          <w:p w14:paraId="46A55F84" w14:textId="77777777" w:rsidR="00641C9B" w:rsidRDefault="00641C9B" w:rsidP="00A22D4A">
            <w:pPr>
              <w:ind w:left="41"/>
            </w:pPr>
            <w:r>
              <w:rPr>
                <w:rFonts w:ascii="Arial MT" w:eastAsia="Arial MT" w:hAnsi="Arial MT" w:cs="Arial MT"/>
                <w:color w:val="373334"/>
                <w:sz w:val="8"/>
              </w:rPr>
              <w:t>Los pacientes deben ser controlados por si se producen efectos adversos asociados con estas sustancias y si es necesario, ajustar la dosis de las mismas.</w:t>
            </w:r>
          </w:p>
        </w:tc>
      </w:tr>
      <w:tr w:rsidR="00641C9B" w14:paraId="6DD1C717" w14:textId="77777777" w:rsidTr="00A22D4A">
        <w:trPr>
          <w:trHeight w:val="509"/>
        </w:trPr>
        <w:tc>
          <w:tcPr>
            <w:tcW w:w="1351" w:type="dxa"/>
            <w:tcBorders>
              <w:top w:val="single" w:sz="2" w:space="0" w:color="373334"/>
              <w:left w:val="single" w:sz="2" w:space="0" w:color="373334"/>
              <w:bottom w:val="single" w:sz="2" w:space="0" w:color="373334"/>
              <w:right w:val="single" w:sz="2" w:space="0" w:color="373334"/>
            </w:tcBorders>
          </w:tcPr>
          <w:p w14:paraId="3F8FBE47" w14:textId="77777777" w:rsidR="00641C9B" w:rsidRDefault="00641C9B" w:rsidP="00A22D4A">
            <w:pPr>
              <w:ind w:left="41"/>
            </w:pPr>
            <w:r>
              <w:rPr>
                <w:rFonts w:ascii="Arial MT" w:eastAsia="Arial MT" w:hAnsi="Arial MT" w:cs="Arial MT"/>
                <w:color w:val="373334"/>
                <w:sz w:val="8"/>
              </w:rPr>
              <w:t xml:space="preserve">Fenitoína </w:t>
            </w:r>
          </w:p>
        </w:tc>
        <w:tc>
          <w:tcPr>
            <w:tcW w:w="1251" w:type="dxa"/>
            <w:tcBorders>
              <w:top w:val="single" w:sz="2" w:space="0" w:color="373334"/>
              <w:left w:val="single" w:sz="2" w:space="0" w:color="373334"/>
              <w:bottom w:val="single" w:sz="2" w:space="0" w:color="373334"/>
              <w:right w:val="single" w:sz="2" w:space="0" w:color="373334"/>
            </w:tcBorders>
          </w:tcPr>
          <w:p w14:paraId="08838715" w14:textId="77777777" w:rsidR="00641C9B" w:rsidRDefault="00641C9B" w:rsidP="00A22D4A">
            <w:pPr>
              <w:ind w:left="40"/>
            </w:pPr>
            <w:r>
              <w:rPr>
                <w:rFonts w:ascii="Arial MT" w:eastAsia="Arial MT" w:hAnsi="Arial MT" w:cs="Arial MT"/>
                <w:color w:val="373334"/>
                <w:sz w:val="8"/>
              </w:rPr>
              <w:t>La adición de fenitoína al tratamiento con Clozapin puede provocar una disminución en las concentraciones plasmáticas de clozapina.</w:t>
            </w:r>
          </w:p>
        </w:tc>
        <w:tc>
          <w:tcPr>
            <w:tcW w:w="1364" w:type="dxa"/>
            <w:tcBorders>
              <w:top w:val="single" w:sz="2" w:space="0" w:color="373334"/>
              <w:left w:val="single" w:sz="2" w:space="0" w:color="373334"/>
              <w:bottom w:val="single" w:sz="2" w:space="0" w:color="373334"/>
              <w:right w:val="single" w:sz="2" w:space="0" w:color="373334"/>
            </w:tcBorders>
          </w:tcPr>
          <w:p w14:paraId="38E1E993" w14:textId="77777777" w:rsidR="00641C9B" w:rsidRDefault="00641C9B" w:rsidP="00A22D4A">
            <w:pPr>
              <w:spacing w:after="2" w:line="245" w:lineRule="auto"/>
              <w:ind w:left="41"/>
            </w:pPr>
            <w:r>
              <w:rPr>
                <w:rFonts w:ascii="Arial MT" w:eastAsia="Arial MT" w:hAnsi="Arial MT" w:cs="Arial MT"/>
                <w:color w:val="373334"/>
                <w:sz w:val="8"/>
              </w:rPr>
              <w:t>Si ha de usarse fenitoína, deberá controlarse estrechamente al</w:t>
            </w:r>
          </w:p>
          <w:p w14:paraId="4DCA880A" w14:textId="77777777" w:rsidR="00641C9B" w:rsidRDefault="00641C9B" w:rsidP="00A22D4A">
            <w:pPr>
              <w:ind w:left="41" w:hanging="47"/>
            </w:pPr>
            <w:r>
              <w:rPr>
                <w:rFonts w:ascii="Arial MT" w:eastAsia="Arial MT" w:hAnsi="Arial MT" w:cs="Arial MT"/>
                <w:color w:val="373334"/>
                <w:sz w:val="8"/>
              </w:rPr>
              <w:t xml:space="preserve"> paciente por si se produce un empeoramiento de los síntomas psicóticos.</w:t>
            </w:r>
          </w:p>
        </w:tc>
      </w:tr>
      <w:tr w:rsidR="00641C9B" w14:paraId="5070740C" w14:textId="77777777" w:rsidTr="00A22D4A">
        <w:trPr>
          <w:trHeight w:val="387"/>
        </w:trPr>
        <w:tc>
          <w:tcPr>
            <w:tcW w:w="1351" w:type="dxa"/>
            <w:tcBorders>
              <w:top w:val="single" w:sz="2" w:space="0" w:color="373334"/>
              <w:left w:val="single" w:sz="2" w:space="0" w:color="373334"/>
              <w:bottom w:val="single" w:sz="2" w:space="0" w:color="373334"/>
              <w:right w:val="single" w:sz="2" w:space="0" w:color="373334"/>
            </w:tcBorders>
          </w:tcPr>
          <w:p w14:paraId="23CFA6EE" w14:textId="77777777" w:rsidR="00641C9B" w:rsidRDefault="00641C9B" w:rsidP="00A22D4A">
            <w:pPr>
              <w:ind w:left="41"/>
            </w:pPr>
            <w:r>
              <w:rPr>
                <w:rFonts w:ascii="Arial MT" w:eastAsia="Arial MT" w:hAnsi="Arial MT" w:cs="Arial MT"/>
                <w:color w:val="373334"/>
                <w:sz w:val="8"/>
              </w:rPr>
              <w:t xml:space="preserve">Litio </w:t>
            </w:r>
          </w:p>
        </w:tc>
        <w:tc>
          <w:tcPr>
            <w:tcW w:w="1251" w:type="dxa"/>
            <w:tcBorders>
              <w:top w:val="single" w:sz="2" w:space="0" w:color="373334"/>
              <w:left w:val="single" w:sz="2" w:space="0" w:color="373334"/>
              <w:bottom w:val="single" w:sz="2" w:space="0" w:color="373334"/>
              <w:right w:val="single" w:sz="2" w:space="0" w:color="373334"/>
            </w:tcBorders>
          </w:tcPr>
          <w:p w14:paraId="7043CFC0" w14:textId="77777777" w:rsidR="00641C9B" w:rsidRDefault="00641C9B" w:rsidP="00A22D4A">
            <w:pPr>
              <w:ind w:left="40" w:right="5"/>
            </w:pPr>
            <w:r>
              <w:rPr>
                <w:rFonts w:ascii="Arial MT" w:eastAsia="Arial MT" w:hAnsi="Arial MT" w:cs="Arial MT"/>
                <w:color w:val="373334"/>
                <w:sz w:val="8"/>
              </w:rPr>
              <w:t>El uso concomitante puede aumentar el riesgo de desarrollar un síndrome neuroléptico maligno (SNM)</w:t>
            </w:r>
          </w:p>
        </w:tc>
        <w:tc>
          <w:tcPr>
            <w:tcW w:w="1364" w:type="dxa"/>
            <w:tcBorders>
              <w:top w:val="single" w:sz="2" w:space="0" w:color="373334"/>
              <w:left w:val="single" w:sz="2" w:space="0" w:color="373334"/>
              <w:bottom w:val="single" w:sz="2" w:space="0" w:color="373334"/>
              <w:right w:val="single" w:sz="2" w:space="0" w:color="373334"/>
            </w:tcBorders>
          </w:tcPr>
          <w:p w14:paraId="7485EA0A" w14:textId="77777777" w:rsidR="00641C9B" w:rsidRDefault="00641C9B" w:rsidP="00A22D4A">
            <w:pPr>
              <w:ind w:left="41"/>
            </w:pPr>
            <w:r>
              <w:rPr>
                <w:rFonts w:ascii="Arial MT" w:eastAsia="Arial MT" w:hAnsi="Arial MT" w:cs="Arial MT"/>
                <w:color w:val="373334"/>
                <w:sz w:val="8"/>
              </w:rPr>
              <w:t>Observar al paciente por si aparecen signos y síntomas de SNM.</w:t>
            </w:r>
          </w:p>
        </w:tc>
      </w:tr>
      <w:tr w:rsidR="00641C9B" w14:paraId="05DCECB8" w14:textId="77777777" w:rsidTr="00A22D4A">
        <w:trPr>
          <w:trHeight w:val="293"/>
        </w:trPr>
        <w:tc>
          <w:tcPr>
            <w:tcW w:w="1351" w:type="dxa"/>
            <w:tcBorders>
              <w:top w:val="single" w:sz="2" w:space="0" w:color="373334"/>
              <w:left w:val="single" w:sz="2" w:space="0" w:color="373334"/>
              <w:bottom w:val="single" w:sz="2" w:space="0" w:color="373334"/>
              <w:right w:val="single" w:sz="2" w:space="0" w:color="373334"/>
            </w:tcBorders>
          </w:tcPr>
          <w:p w14:paraId="0520D84A" w14:textId="77777777" w:rsidR="00641C9B" w:rsidRDefault="00641C9B" w:rsidP="00A22D4A">
            <w:pPr>
              <w:ind w:left="41" w:right="7"/>
            </w:pPr>
            <w:r>
              <w:rPr>
                <w:rFonts w:ascii="Arial MT" w:eastAsia="Arial MT" w:hAnsi="Arial MT" w:cs="Arial MT"/>
                <w:color w:val="373334"/>
                <w:sz w:val="8"/>
              </w:rPr>
              <w:t>Sustancias que inducen el CYP1A2 (p.ej. omeprazol)</w:t>
            </w:r>
          </w:p>
        </w:tc>
        <w:tc>
          <w:tcPr>
            <w:tcW w:w="1251" w:type="dxa"/>
            <w:tcBorders>
              <w:top w:val="single" w:sz="2" w:space="0" w:color="373334"/>
              <w:left w:val="single" w:sz="2" w:space="0" w:color="373334"/>
              <w:bottom w:val="single" w:sz="2" w:space="0" w:color="373334"/>
              <w:right w:val="single" w:sz="2" w:space="0" w:color="373334"/>
            </w:tcBorders>
          </w:tcPr>
          <w:p w14:paraId="58163FE3" w14:textId="77777777" w:rsidR="00641C9B" w:rsidRDefault="00641C9B" w:rsidP="00A22D4A">
            <w:pPr>
              <w:ind w:left="40"/>
            </w:pPr>
            <w:r>
              <w:rPr>
                <w:rFonts w:ascii="Arial MT" w:eastAsia="Arial MT" w:hAnsi="Arial MT" w:cs="Arial MT"/>
                <w:color w:val="373334"/>
                <w:sz w:val="8"/>
              </w:rPr>
              <w:t>El uso concomitante puede disminuir los niveles de clozapina.</w:t>
            </w:r>
          </w:p>
        </w:tc>
        <w:tc>
          <w:tcPr>
            <w:tcW w:w="1364" w:type="dxa"/>
            <w:tcBorders>
              <w:top w:val="single" w:sz="2" w:space="0" w:color="373334"/>
              <w:left w:val="single" w:sz="2" w:space="0" w:color="373334"/>
              <w:bottom w:val="single" w:sz="2" w:space="0" w:color="373334"/>
              <w:right w:val="single" w:sz="2" w:space="0" w:color="373334"/>
            </w:tcBorders>
          </w:tcPr>
          <w:p w14:paraId="689DB95C" w14:textId="77777777" w:rsidR="00641C9B" w:rsidRDefault="00641C9B" w:rsidP="00A22D4A">
            <w:pPr>
              <w:ind w:left="41" w:right="4"/>
            </w:pPr>
            <w:r>
              <w:rPr>
                <w:rFonts w:ascii="Arial MT" w:eastAsia="Arial MT" w:hAnsi="Arial MT" w:cs="Arial MT"/>
                <w:color w:val="373334"/>
                <w:sz w:val="8"/>
              </w:rPr>
              <w:t>Debe considerarse el potencial para reducir la eficacia de clozapina.</w:t>
            </w:r>
          </w:p>
        </w:tc>
      </w:tr>
      <w:tr w:rsidR="00641C9B" w14:paraId="48097E22" w14:textId="77777777" w:rsidTr="00A22D4A">
        <w:trPr>
          <w:trHeight w:val="834"/>
        </w:trPr>
        <w:tc>
          <w:tcPr>
            <w:tcW w:w="1351" w:type="dxa"/>
            <w:tcBorders>
              <w:top w:val="single" w:sz="2" w:space="0" w:color="373334"/>
              <w:left w:val="single" w:sz="2" w:space="0" w:color="373334"/>
              <w:bottom w:val="single" w:sz="2" w:space="0" w:color="373334"/>
              <w:right w:val="single" w:sz="2" w:space="0" w:color="373334"/>
            </w:tcBorders>
          </w:tcPr>
          <w:p w14:paraId="077210B6" w14:textId="77777777" w:rsidR="00641C9B" w:rsidRDefault="00641C9B" w:rsidP="00A22D4A">
            <w:pPr>
              <w:ind w:left="41" w:right="58"/>
            </w:pPr>
            <w:r>
              <w:rPr>
                <w:rFonts w:ascii="Arial MT" w:eastAsia="Arial MT" w:hAnsi="Arial MT" w:cs="Arial MT"/>
                <w:color w:val="373334"/>
                <w:sz w:val="8"/>
              </w:rPr>
              <w:t>Sustancias que inhiben el CYP1A2 p.ej. fluvoxamina, cafeína, ciprofloxacino, perazina o anticonceptivos hormonales (CYP1A2, CYP3A4 y CYP2C19)</w:t>
            </w:r>
          </w:p>
        </w:tc>
        <w:tc>
          <w:tcPr>
            <w:tcW w:w="1251" w:type="dxa"/>
            <w:tcBorders>
              <w:top w:val="single" w:sz="2" w:space="0" w:color="373334"/>
              <w:left w:val="single" w:sz="2" w:space="0" w:color="373334"/>
              <w:bottom w:val="single" w:sz="2" w:space="0" w:color="373334"/>
              <w:right w:val="single" w:sz="2" w:space="0" w:color="373334"/>
            </w:tcBorders>
          </w:tcPr>
          <w:p w14:paraId="3DF7BCA1" w14:textId="77777777" w:rsidR="00641C9B" w:rsidRDefault="00641C9B" w:rsidP="00A22D4A">
            <w:pPr>
              <w:ind w:left="40"/>
            </w:pPr>
            <w:r>
              <w:rPr>
                <w:rFonts w:ascii="Arial MT" w:eastAsia="Arial MT" w:hAnsi="Arial MT" w:cs="Arial MT"/>
                <w:color w:val="373334"/>
                <w:sz w:val="8"/>
              </w:rPr>
              <w:t>El uso concomitante puede aumentar los niveles de clozapina.</w:t>
            </w:r>
          </w:p>
        </w:tc>
        <w:tc>
          <w:tcPr>
            <w:tcW w:w="1364" w:type="dxa"/>
            <w:tcBorders>
              <w:top w:val="single" w:sz="2" w:space="0" w:color="373334"/>
              <w:left w:val="single" w:sz="2" w:space="0" w:color="373334"/>
              <w:bottom w:val="single" w:sz="2" w:space="0" w:color="373334"/>
              <w:right w:val="single" w:sz="2" w:space="0" w:color="373334"/>
            </w:tcBorders>
          </w:tcPr>
          <w:p w14:paraId="640C5443" w14:textId="77777777" w:rsidR="00641C9B" w:rsidRDefault="00641C9B" w:rsidP="00A22D4A">
            <w:pPr>
              <w:ind w:left="41"/>
            </w:pPr>
            <w:r>
              <w:rPr>
                <w:rFonts w:ascii="Arial MT" w:eastAsia="Arial MT" w:hAnsi="Arial MT" w:cs="Arial MT"/>
                <w:color w:val="373334"/>
                <w:sz w:val="8"/>
              </w:rPr>
              <w:t>Potencial para aumentar los efectos adversos. También es necesario tener precaución después del cese del uso concomitante de medicamentos inhibidores de CYP1A2 o de CYP3A4 debido a la posible reducción de los niveles de clozapina.El efecto de la inhibición del CYP2C19 puede ser mínima.</w:t>
            </w:r>
          </w:p>
        </w:tc>
      </w:tr>
    </w:tbl>
    <w:p w14:paraId="2E0A80F5" w14:textId="77777777" w:rsidR="00641C9B" w:rsidRDefault="00641C9B" w:rsidP="00540187"/>
    <w:p w14:paraId="3AED91A4" w14:textId="2F38B87E" w:rsidR="00540187" w:rsidRDefault="00540187" w:rsidP="00540187">
      <w:r>
        <w:t>SOBREDOSIFICACIÓN:</w:t>
      </w:r>
    </w:p>
    <w:p w14:paraId="46F92009" w14:textId="77777777" w:rsidR="00540187" w:rsidRDefault="00540187" w:rsidP="00540187">
      <w:r>
        <w:t>En casos de sobredosis agudas intencionadas o accidentales con Clozapin, se ha estimado una mortalidad de 12% a través de los casos notificados que disponían de información sobre el desenlace. La mayoría de las muertes estaban asociadas a insuficiencia cardíaca o neumonía causada por aspiración tras ingerir dosis superiores a 2000 mg. También ha habido informes de pacientes que se han recuperado de sobredosificaciones superiores a 10.000 mg. Sin embargo, en algunos adultos, principalmente en aquellos no expuestos previamente, la ingestión de dosis de 400 mg provocó estados comatosos con peligro de muerte y un caso de muerte. En niños, la ingesta de 50 mg a 200 mg provocó sedación profunda o coma sin llegar a ser letal.</w:t>
      </w:r>
    </w:p>
    <w:p w14:paraId="5E4EE2D8" w14:textId="77777777" w:rsidR="00540187" w:rsidRDefault="00540187" w:rsidP="00540187">
      <w:r>
        <w:t>Signos y síntomas</w:t>
      </w:r>
    </w:p>
    <w:p w14:paraId="13614FB0" w14:textId="77777777" w:rsidR="00540187" w:rsidRDefault="00540187" w:rsidP="00540187">
      <w:r>
        <w:t>Somnolencia, letargo, arreflexia, coma, confusión, alucinaciones, agitación, delirio, síntomas extrapiramidales, hiperreflexia, convulsiones; hipersalivación, midriasis, visión borrosa, termolabilidad; hipotensión, colapso, taquicardia, arritmias cardíacas, neumonía por aspiración, disnea, depresión o insuficiencia respiratoria.</w:t>
      </w:r>
    </w:p>
    <w:p w14:paraId="173AD6E6" w14:textId="77777777" w:rsidR="00540187" w:rsidRDefault="00540187" w:rsidP="00540187">
      <w:r>
        <w:t>Tratamiento</w:t>
      </w:r>
    </w:p>
    <w:p w14:paraId="475305BA" w14:textId="77777777" w:rsidR="00540187" w:rsidRDefault="00540187" w:rsidP="00540187">
      <w:r>
        <w:t>No hay antídotos específicos para Clozapin.</w:t>
      </w:r>
    </w:p>
    <w:p w14:paraId="570F980C" w14:textId="77777777" w:rsidR="00540187" w:rsidRDefault="00540187" w:rsidP="00540187"/>
    <w:p w14:paraId="0C48D848" w14:textId="77777777" w:rsidR="00540187" w:rsidRDefault="00540187" w:rsidP="00540187">
      <w:r>
        <w:t>Durante las primeras 6 horas tras la ingestión del fármaco, deberá realizarse un lavado gástrico y/o la administración de carbón activado. La diálisis peritoneal y la hemodiálisis no son muy efectivas. Tratamiento sintomático bajo monitorización cardíaca continua, vigilancia de la respiración, monitorización de los electrolitos y del equilibrio ácido-base. El uso de epinefrina deberá evitarse en el tratamiento de la hipotensión debido a la posibilidad de un efecto paradójico (efecto inverso) al de la epinefrina.</w:t>
      </w:r>
    </w:p>
    <w:p w14:paraId="619E066A" w14:textId="77777777" w:rsidR="00540187" w:rsidRDefault="00540187" w:rsidP="00540187">
      <w:r>
        <w:t>Es necesaria una estrecha supervisión médica durante al menos 5 días debido a la posibilidad de reacciones retardadas.</w:t>
      </w:r>
    </w:p>
    <w:p w14:paraId="0668FC8F" w14:textId="77777777" w:rsidR="00540187" w:rsidRDefault="00540187" w:rsidP="00540187">
      <w:r>
        <w:t xml:space="preserve">En caso de sobredosis o ingesta accidental, consultar al Servicio de Toxicología del Hospital de EMERGENCIAS MEDICAS  Tel.: 220-418 o el 204-800 (int. 011) </w:t>
      </w:r>
    </w:p>
    <w:p w14:paraId="04ADAA95" w14:textId="77777777" w:rsidR="00540187" w:rsidRDefault="00540187" w:rsidP="00540187"/>
    <w:p w14:paraId="1575C530" w14:textId="77777777" w:rsidR="00540187" w:rsidRDefault="00540187" w:rsidP="00540187">
      <w:r>
        <w:t>RESTRICCIONES DE USO.</w:t>
      </w:r>
    </w:p>
    <w:p w14:paraId="621A789C" w14:textId="77777777" w:rsidR="00540187" w:rsidRDefault="00540187" w:rsidP="00540187">
      <w:r>
        <w:t>Embarazo</w:t>
      </w:r>
    </w:p>
    <w:p w14:paraId="2C91DF07" w14:textId="77777777" w:rsidR="00540187" w:rsidRDefault="00540187" w:rsidP="00540187">
      <w:r>
        <w:t>Según la bibliografía consultada, existen sólo limitados datos de embarazos durante el tratamiento con clozapina. Se recomienda precaución cuando se prescriba a mujeres embarazadas.</w:t>
      </w:r>
    </w:p>
    <w:p w14:paraId="7325C7A9" w14:textId="77777777" w:rsidR="00540187" w:rsidRDefault="00540187" w:rsidP="00540187">
      <w:r>
        <w:t xml:space="preserve">Los neonatos expuestos a antipsicóticos (incluyendo Clozapin) durante el tercer trimestre del embarazo están en riesgo de presentar reacciones adversas incluyendo síntomas extrapiramidales y/o síntomas de abstinencia que pueden variar en severidad y duración tras el nacimiento. Pueden darse casos de agitación, hipertonía, hipotonía, </w:t>
      </w:r>
      <w:r>
        <w:lastRenderedPageBreak/>
        <w:t>temblor, somnolencia, dificultad respiratoria o trastornos de la alimentación. Por consiguiente, los recién nacidos que han sido expuestos a antipsicóticos deben ser monitorizados cuidadosamente.</w:t>
      </w:r>
    </w:p>
    <w:p w14:paraId="0B69A079" w14:textId="77777777" w:rsidR="00540187" w:rsidRDefault="00540187" w:rsidP="00540187">
      <w:r>
        <w:t>Lactancia</w:t>
      </w:r>
    </w:p>
    <w:p w14:paraId="6E3E0205" w14:textId="77777777" w:rsidR="00540187" w:rsidRDefault="00540187" w:rsidP="00540187">
      <w:r>
        <w:t>La clozapina se excreta a través de la leche materna y tiene efecto en el lactante; por ello las madres que reciban Clozapin no deben amamantar a sus hijos.</w:t>
      </w:r>
    </w:p>
    <w:p w14:paraId="5BE05F45" w14:textId="77777777" w:rsidR="00540187" w:rsidRDefault="00540187" w:rsidP="00540187">
      <w:r>
        <w:t>Fertilidad</w:t>
      </w:r>
    </w:p>
    <w:p w14:paraId="49B3B1CF" w14:textId="77777777" w:rsidR="00540187" w:rsidRDefault="00540187" w:rsidP="00540187">
      <w:r>
        <w:t>Se dispone de datos limitados de los efectos de la clozapina sobre la fertilidad en humanos que no son concluyentes.</w:t>
      </w:r>
    </w:p>
    <w:p w14:paraId="0DB92094" w14:textId="77777777" w:rsidR="00540187" w:rsidRDefault="00540187" w:rsidP="00540187">
      <w:r>
        <w:t>Mujeres en edad fértil</w:t>
      </w:r>
    </w:p>
    <w:p w14:paraId="12238118" w14:textId="77777777" w:rsidR="00540187" w:rsidRDefault="00540187" w:rsidP="00540187">
      <w:r>
        <w:t>Deben tomarse medidas anticonceptivas adecuadas en mujeres en edad fértil.</w:t>
      </w:r>
    </w:p>
    <w:p w14:paraId="771C3973" w14:textId="77777777" w:rsidR="00540187" w:rsidRDefault="00540187" w:rsidP="00540187">
      <w:r>
        <w:t>Efectos sobre la capacidad para conducir y utilizar máquinas</w:t>
      </w:r>
    </w:p>
    <w:p w14:paraId="10D4F8C7" w14:textId="77777777" w:rsidR="00540187" w:rsidRDefault="00540187" w:rsidP="00540187">
      <w:r>
        <w:t>Debido a la capacidad de Clozapin de producir sedación y disminuir el umbral convulsivo, deben evitarse cierto tipo de actividades como conducir o utilizar maquinaria especialmente durante las primeras semanas de tratamiento.</w:t>
      </w:r>
    </w:p>
    <w:p w14:paraId="5558917B" w14:textId="77777777" w:rsidR="00540187" w:rsidRDefault="00540187" w:rsidP="00540187">
      <w:r>
        <w:t>Clozapin actúa sobre el sistema nervioso central y puede producir: somnolencia, mareos, alteraciones visuales y disminución de la capacidad de reacción. Estos efectos, así como la propia enfermedad, hacen que sea recomendable tener precaución a la hora de conducir vehículos o manejar maquinaria peligrosa, especialmente mientras no se haya establecido la sensibilidad particular de cada paciente al medicamento.</w:t>
      </w:r>
    </w:p>
    <w:p w14:paraId="41D1F573" w14:textId="77777777" w:rsidR="00540187" w:rsidRDefault="00540187" w:rsidP="00540187"/>
    <w:p w14:paraId="2EC2077B" w14:textId="77777777" w:rsidR="00540187" w:rsidRDefault="00540187" w:rsidP="00540187">
      <w:r>
        <w:t xml:space="preserve">CONSERVACIÓN: </w:t>
      </w:r>
    </w:p>
    <w:p w14:paraId="64A5D731" w14:textId="77777777" w:rsidR="00540187" w:rsidRDefault="00540187" w:rsidP="00540187">
      <w:r>
        <w:t>Almacenar a temperatura entre 15° y 30 °C</w:t>
      </w:r>
    </w:p>
    <w:p w14:paraId="493D6704" w14:textId="77777777" w:rsidR="00540187" w:rsidRDefault="00540187" w:rsidP="00540187"/>
    <w:p w14:paraId="53A5D3BA" w14:textId="77777777" w:rsidR="00540187" w:rsidRDefault="00540187" w:rsidP="00540187">
      <w:r>
        <w:t>PRESENTACIÓN</w:t>
      </w:r>
    </w:p>
    <w:p w14:paraId="1BB86728" w14:textId="77777777" w:rsidR="00540187" w:rsidRDefault="00540187" w:rsidP="00540187">
      <w:r>
        <w:t>Caja conteniendo 10/20/30 comprimidos recubiertos.</w:t>
      </w:r>
    </w:p>
    <w:p w14:paraId="0C5A222E" w14:textId="77777777" w:rsidR="00540187" w:rsidRDefault="00540187" w:rsidP="00540187">
      <w:r>
        <w:t>Caja conteniendo 100 comprimidos recubiertos.</w:t>
      </w:r>
    </w:p>
    <w:p w14:paraId="78DDFE79" w14:textId="77777777" w:rsidR="00540187" w:rsidRDefault="00540187" w:rsidP="00540187"/>
    <w:p w14:paraId="777857E6" w14:textId="77777777" w:rsidR="00540187" w:rsidRDefault="00540187" w:rsidP="00540187">
      <w:r>
        <w:t>Este medicamento debe ser utilizado únicamente por prescripción médica y no podrá repetirse sin nueva indicación del facultativo. En caso de uso de este medicamento sin prescripción médica, la ocurrencia de efectos adversos e indeseables será de exclusiva responsabilidad de quién lo consuma.</w:t>
      </w:r>
    </w:p>
    <w:p w14:paraId="5ED0FAC7" w14:textId="77777777" w:rsidR="00540187" w:rsidRDefault="00540187" w:rsidP="00540187">
      <w:r>
        <w:t>Si Ud. es deportista y está sometido a control de doping, no consuma este producto sin consultar a su médico.</w:t>
      </w:r>
    </w:p>
    <w:p w14:paraId="1231979C" w14:textId="77777777" w:rsidR="00540187" w:rsidRDefault="00540187" w:rsidP="00540187"/>
    <w:p w14:paraId="1392040E" w14:textId="77777777" w:rsidR="00540187" w:rsidRDefault="00540187" w:rsidP="00540187">
      <w:r>
        <w:t>D.T.: Q.F. Laura Ramírez</w:t>
      </w:r>
    </w:p>
    <w:p w14:paraId="63B25265" w14:textId="77777777" w:rsidR="00540187" w:rsidRDefault="00540187" w:rsidP="00540187">
      <w:r>
        <w:t>Reg. Prof. N° 4.142</w:t>
      </w:r>
    </w:p>
    <w:p w14:paraId="4B0FC734" w14:textId="77777777" w:rsidR="00540187" w:rsidRDefault="00540187" w:rsidP="00540187">
      <w:r>
        <w:t>Autorizado por D.N.V.S. del M.S.P. y B.S</w:t>
      </w:r>
    </w:p>
    <w:p w14:paraId="3759FFEA" w14:textId="77777777" w:rsidR="00540187" w:rsidRDefault="00540187" w:rsidP="00540187"/>
    <w:p w14:paraId="12BB8EAD" w14:textId="77777777" w:rsidR="00540187" w:rsidRDefault="00540187" w:rsidP="00540187">
      <w:r>
        <w:t xml:space="preserve">MANTENER FUERA DEL ALCANCE DE LOS NIÑOS </w:t>
      </w:r>
    </w:p>
    <w:p w14:paraId="405D2E15" w14:textId="77777777" w:rsidR="00540187" w:rsidRDefault="00540187" w:rsidP="00540187"/>
    <w:p w14:paraId="51BDAE0D" w14:textId="77777777" w:rsidR="00540187" w:rsidRDefault="00540187" w:rsidP="00540187"/>
    <w:p w14:paraId="74CAFB11" w14:textId="77777777" w:rsidR="00540187" w:rsidRDefault="00540187" w:rsidP="00540187"/>
    <w:p w14:paraId="6E26EF9A" w14:textId="77777777" w:rsidR="001562FC" w:rsidRDefault="001562FC"/>
    <w:sectPr w:rsidR="001562FC" w:rsidSect="005401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MT">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87"/>
    <w:rsid w:val="001562FC"/>
    <w:rsid w:val="004939BA"/>
    <w:rsid w:val="00540187"/>
    <w:rsid w:val="00641C9B"/>
    <w:rsid w:val="00B61E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4E58"/>
  <w15:chartTrackingRefBased/>
  <w15:docId w15:val="{01B7D6B8-467F-4118-9BA1-24696B3E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540187"/>
    <w:pPr>
      <w:spacing w:after="0" w:line="240" w:lineRule="auto"/>
    </w:pPr>
    <w:rPr>
      <w:rFonts w:eastAsiaTheme="minorEastAsia"/>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9410</Words>
  <Characters>51758</Characters>
  <Application>Microsoft Office Word</Application>
  <DocSecurity>0</DocSecurity>
  <Lines>431</Lines>
  <Paragraphs>122</Paragraphs>
  <ScaleCrop>false</ScaleCrop>
  <Company/>
  <LinksUpToDate>false</LinksUpToDate>
  <CharactersWithSpaces>61046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3</cp:revision>
  <dcterms:created xsi:type="dcterms:W3CDTF">2020-10-27T14:52:00Z</dcterms:created>
  <dcterms:modified xsi:type="dcterms:W3CDTF">2020-10-27T15:01:00Z</dcterms:modified>
</cp:coreProperties>
</file>